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r>
        <w:rPr>
          <w:rFonts w:hint="eastAsia" w:ascii="黑体" w:hAnsi="黑体" w:eastAsia="黑体" w:cs="仿宋_GB2312"/>
          <w:sz w:val="32"/>
          <w:szCs w:val="20"/>
        </w:rPr>
        <w:t>附件2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省级“科技企业孵化器”推荐信息汇总表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>（盖章）</w:t>
      </w:r>
    </w:p>
    <w:tbl>
      <w:tblPr>
        <w:tblStyle w:val="4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孵化器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7" w:firstLineChars="0"/>
        <w:jc w:val="left"/>
        <w:rPr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推荐单位联系人：            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 xml:space="preserve">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2F227D59"/>
    <w:rsid w:val="2F2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left="420" w:left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2023-05-22T08:36:00Z</dcterms:created>
  <dc:creator>苗宏雄</dc:creator>
  <cp:lastModifiedBy>苗宏雄</cp:lastModifiedBy>
  <dcterms:modified xsi:type="dcterms:W3CDTF">2023-05-22T08:37:32Z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F169A38B16644747ACFA03AD971F3B35_11</vt:lpwstr>
  </property>
</Properties>
</file>