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省级34条重点产业链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光子、商用车（重卡）、煤炭、航空、无人机、人工智能（大数据）、输变电设备、智能终端、白酒、石油天然气、太阳能光伏、医药和医疗设备、新型电力工业、富硒产品、纺织服装、乳制品、成套专用设备制造、半导体及集成电路、铝镁钼深加工、碳纤维及其复合材料、乘用车（新能源）、数控机床、智能建造与新型建筑工业化、航天、机器人、钛及钛合金、节能环保、氢能、现代化工、增材制造、新型显示、钢铁深加工、传感器与物联网、软件和信息技术服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84BD0"/>
    <w:rsid w:val="697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2024-04-25T08:57:00Z</dcterms:created>
  <dc:creator>白东海</dc:creator>
  <cp:lastModifiedBy>白东海</cp:lastModifiedBy>
  <dcterms:modified xsi:type="dcterms:W3CDTF">2024-04-25T08:57:22Z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