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00" w:beforeAutospacing="1"/>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snapToGrid w:val="0"/>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lang w:bidi="ar"/>
        </w:rPr>
        <w:t>中国工业碳达峰“领跑者”</w:t>
      </w:r>
    </w:p>
    <w:p>
      <w:pPr>
        <w:snapToGrid w:val="0"/>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lang w:bidi="ar"/>
        </w:rPr>
        <w:t>企业信息表</w:t>
      </w:r>
    </w:p>
    <w:p>
      <w:pPr>
        <w:spacing w:line="1600" w:lineRule="exact"/>
        <w:jc w:val="center"/>
        <w:rPr>
          <w:rFonts w:eastAsia="楷体_GB2312"/>
          <w:sz w:val="52"/>
          <w:szCs w:val="52"/>
        </w:rPr>
      </w:pPr>
      <w:r>
        <w:rPr>
          <w:rFonts w:ascii="楷体_GB2312" w:eastAsia="楷体_GB2312" w:cs="楷体_GB2312"/>
          <w:sz w:val="52"/>
          <w:szCs w:val="52"/>
          <w:lang w:bidi="ar"/>
        </w:rPr>
        <w:t>（</w:t>
      </w:r>
      <w:r>
        <w:rPr>
          <w:rFonts w:eastAsia="楷体_GB2312"/>
          <w:sz w:val="52"/>
          <w:szCs w:val="52"/>
          <w:lang w:bidi="ar"/>
        </w:rPr>
        <w:t>202</w:t>
      </w:r>
      <w:r>
        <w:rPr>
          <w:rFonts w:hint="eastAsia" w:eastAsia="楷体_GB2312"/>
          <w:sz w:val="52"/>
          <w:szCs w:val="52"/>
          <w:lang w:bidi="ar"/>
        </w:rPr>
        <w:t>4</w:t>
      </w:r>
      <w:r>
        <w:rPr>
          <w:rFonts w:ascii="楷体_GB2312" w:eastAsia="楷体_GB2312" w:cs="楷体_GB2312"/>
          <w:sz w:val="52"/>
          <w:szCs w:val="52"/>
          <w:lang w:bidi="ar"/>
        </w:rPr>
        <w:t>年版）</w:t>
      </w:r>
    </w:p>
    <w:p>
      <w:pPr>
        <w:ind w:firstLine="640" w:firstLineChars="200"/>
        <w:rPr>
          <w:rFonts w:eastAsia="仿宋_GB2312" w:cs="仿宋_GB2312"/>
          <w:color w:val="FF0000"/>
        </w:rPr>
      </w:pPr>
      <w:r>
        <w:rPr>
          <w:rFonts w:eastAsia="仿宋_GB2312" w:cs="仿宋_GB2312"/>
          <w:color w:val="FF0000"/>
          <w:lang w:bidi="ar"/>
        </w:rPr>
        <w:t xml:space="preserve"> </w:t>
      </w:r>
    </w:p>
    <w:p>
      <w:pPr>
        <w:pStyle w:val="2"/>
        <w:widowControl/>
        <w:spacing w:before="100" w:beforeAutospacing="1"/>
        <w:rPr>
          <w:rFonts w:ascii="Times New Roman" w:hAnsi="Times New Roman"/>
          <w:color w:val="FF0000"/>
        </w:rPr>
      </w:pPr>
      <w:r>
        <w:rPr>
          <w:rFonts w:ascii="Times New Roman" w:hAnsi="Times New Roman"/>
          <w:color w:val="FF0000"/>
        </w:rPr>
        <w:t xml:space="preserve"> </w:t>
      </w:r>
    </w:p>
    <w:p>
      <w:pPr>
        <w:pStyle w:val="2"/>
        <w:widowControl/>
        <w:spacing w:before="100" w:beforeAutospacing="1"/>
        <w:rPr>
          <w:rFonts w:ascii="Times New Roman" w:hAnsi="Times New Roman"/>
          <w:color w:val="FF0000"/>
        </w:rPr>
      </w:pPr>
      <w:r>
        <w:rPr>
          <w:rFonts w:ascii="Times New Roman" w:hAnsi="Times New Roman"/>
          <w:color w:val="FF0000"/>
        </w:rPr>
        <w:t xml:space="preserve"> </w:t>
      </w:r>
    </w:p>
    <w:p>
      <w:pPr>
        <w:pStyle w:val="2"/>
        <w:widowControl/>
        <w:spacing w:before="100" w:beforeAutospacing="1"/>
        <w:rPr>
          <w:rFonts w:ascii="Times New Roman" w:hAnsi="Times New Roman"/>
          <w:color w:val="FF0000"/>
        </w:rPr>
      </w:pPr>
    </w:p>
    <w:p>
      <w:pPr>
        <w:pStyle w:val="2"/>
        <w:widowControl/>
        <w:spacing w:before="100" w:beforeAutospacing="1"/>
        <w:rPr>
          <w:rFonts w:ascii="Times New Roman" w:hAnsi="Times New Roman"/>
          <w:color w:val="FF0000"/>
        </w:rPr>
      </w:pPr>
    </w:p>
    <w:p>
      <w:pPr>
        <w:pStyle w:val="2"/>
        <w:widowControl/>
        <w:spacing w:before="100" w:beforeAutospacing="1"/>
        <w:rPr>
          <w:rFonts w:ascii="Times New Roman" w:hAnsi="Times New Roman"/>
          <w:color w:val="FF0000"/>
        </w:rPr>
      </w:pPr>
      <w:r>
        <w:rPr>
          <w:rFonts w:ascii="Times New Roman" w:hAnsi="Times New Roman"/>
          <w:color w:val="FF0000"/>
        </w:rPr>
        <w:t xml:space="preserve"> </w:t>
      </w:r>
    </w:p>
    <w:p>
      <w:pPr>
        <w:pStyle w:val="2"/>
        <w:widowControl/>
        <w:spacing w:before="100" w:beforeAutospacing="1"/>
        <w:rPr>
          <w:rFonts w:ascii="Times New Roman" w:hAnsi="Times New Roman"/>
          <w:color w:val="FF0000"/>
        </w:rPr>
      </w:pPr>
    </w:p>
    <w:p>
      <w:pPr>
        <w:spacing w:line="840" w:lineRule="auto"/>
        <w:rPr>
          <w:rFonts w:eastAsia="仿宋_GB2312"/>
          <w:sz w:val="30"/>
          <w:szCs w:val="30"/>
          <w:u w:val="single"/>
        </w:rPr>
      </w:pPr>
      <w:r>
        <w:rPr>
          <w:rFonts w:ascii="楷体_GB2312" w:eastAsia="楷体_GB2312" w:cs="楷体_GB2312"/>
          <w:lang w:bidi="ar"/>
        </w:rPr>
        <w:t>企业名称</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spacing w:line="840" w:lineRule="auto"/>
        <w:rPr>
          <w:rFonts w:eastAsia="楷体_GB2312"/>
        </w:rPr>
      </w:pPr>
      <w:r>
        <w:rPr>
          <w:rFonts w:ascii="楷体_GB2312" w:eastAsia="楷体_GB2312" w:cs="楷体_GB2312"/>
          <w:lang w:bidi="ar"/>
        </w:rPr>
        <w:t>填报时间</w:t>
      </w:r>
      <w:r>
        <w:rPr>
          <w:rFonts w:eastAsia="楷体_GB2312"/>
          <w:u w:val="single"/>
          <w:lang w:bidi="ar"/>
        </w:rPr>
        <w:t xml:space="preserve">        </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pStyle w:val="2"/>
        <w:widowControl/>
        <w:spacing w:before="100" w:beforeAutospacing="1"/>
        <w:rPr>
          <w:rFonts w:ascii="Times New Roman" w:hAnsi="Times New Roman"/>
        </w:rPr>
      </w:pPr>
    </w:p>
    <w:p>
      <w:pPr>
        <w:spacing w:line="360" w:lineRule="auto"/>
        <w:jc w:val="center"/>
        <w:rPr>
          <w:rFonts w:ascii="方正小标宋简体" w:hAnsi="方正小标宋简体" w:eastAsia="方正小标宋简体" w:cs="方正小标宋简体"/>
          <w:bCs/>
          <w:sz w:val="36"/>
          <w:szCs w:val="36"/>
          <w:lang w:bidi="ar"/>
        </w:rPr>
      </w:pPr>
      <w:r>
        <w:rPr>
          <w:sz w:val="21"/>
          <w:szCs w:val="21"/>
        </w:rPr>
        <w:t xml:space="preserve"> </w:t>
      </w:r>
    </w:p>
    <w:p>
      <w:pPr>
        <w:spacing w:line="360" w:lineRule="auto"/>
        <w:jc w:val="center"/>
        <w:rPr>
          <w:rFonts w:ascii="Calibri" w:hAnsi="Calibri"/>
          <w:sz w:val="21"/>
          <w:szCs w:val="21"/>
        </w:rPr>
      </w:pPr>
      <w:r>
        <w:rPr>
          <w:rFonts w:ascii="方正小标宋简体" w:hAnsi="方正小标宋简体" w:eastAsia="方正小标宋简体" w:cs="方正小标宋简体"/>
          <w:bCs/>
          <w:sz w:val="36"/>
          <w:szCs w:val="36"/>
          <w:lang w:bidi="ar"/>
        </w:rPr>
        <w:t>填写说明</w:t>
      </w:r>
      <w:r>
        <w:rPr>
          <w:rFonts w:ascii="Calibri" w:hAnsi="Calibri"/>
          <w:sz w:val="21"/>
          <w:szCs w:val="21"/>
        </w:rPr>
        <w:t xml:space="preserve"> </w:t>
      </w:r>
    </w:p>
    <w:p>
      <w:pPr>
        <w:pStyle w:val="2"/>
        <w:widowControl/>
        <w:numPr>
          <w:ilvl w:val="0"/>
          <w:numId w:val="1"/>
        </w:numPr>
        <w:spacing w:before="100" w:beforeAutospacing="1" w:after="0"/>
        <w:rPr>
          <w:rFonts w:ascii="Times New Roman" w:hAnsi="Times New Roman" w:eastAsia="仿宋_GB2312" w:cs="仿宋_GB2312"/>
          <w:sz w:val="28"/>
          <w:szCs w:val="28"/>
        </w:rPr>
      </w:pPr>
      <w:r>
        <w:rPr>
          <w:rFonts w:hint="eastAsia" w:ascii="仿宋_GB2312" w:eastAsia="仿宋_GB2312" w:cs="仿宋_GB2312"/>
          <w:sz w:val="28"/>
          <w:szCs w:val="28"/>
        </w:rPr>
        <w:t>本项工作旨在找出一批在绿色低碳发展、数字化转型、国际化经营等方面具有示范带动效应的一流企业，为行业整体和产业链上下游实现绿色低碳转型提供参考借鉴。</w:t>
      </w:r>
    </w:p>
    <w:p>
      <w:pPr>
        <w:numPr>
          <w:ilvl w:val="0"/>
          <w:numId w:val="1"/>
        </w:numPr>
        <w:rPr>
          <w:rFonts w:eastAsia="仿宋_GB2312" w:cs="仿宋_GB2312"/>
          <w:sz w:val="28"/>
          <w:szCs w:val="28"/>
        </w:rPr>
      </w:pPr>
      <w:r>
        <w:rPr>
          <w:rFonts w:hint="eastAsia" w:ascii="仿宋_GB2312" w:eastAsia="仿宋_GB2312" w:cs="仿宋_GB2312"/>
          <w:sz w:val="28"/>
          <w:szCs w:val="28"/>
          <w:lang w:bidi="ar"/>
        </w:rPr>
        <w:t>填报单位应具有独立法人资格，具有较强行业影响力和市场竞争力，经营管理状况较好，生产经营活动符合国家、地方和行业的法律法规及标准规范要求。近三年发生安全、质量、环境污染等事故及违法违规行为的单位不得参与填报。</w:t>
      </w:r>
    </w:p>
    <w:p>
      <w:pPr>
        <w:numPr>
          <w:ilvl w:val="0"/>
          <w:numId w:val="1"/>
        </w:numPr>
        <w:rPr>
          <w:rFonts w:eastAsia="仿宋_GB2312" w:cs="仿宋_GB2312"/>
          <w:sz w:val="28"/>
          <w:szCs w:val="28"/>
        </w:rPr>
      </w:pPr>
      <w:r>
        <w:rPr>
          <w:rFonts w:hint="eastAsia" w:ascii="仿宋_GB2312" w:eastAsia="仿宋_GB2312" w:cs="仿宋_GB2312"/>
          <w:sz w:val="28"/>
          <w:szCs w:val="28"/>
          <w:lang w:bidi="ar"/>
        </w:rPr>
        <w:t>填报单位须按照填写要求和实际情况认真准确填写。企业信息仅用于本项工作，将被严格保密。请确保填写材料真实、合法，不涉及知识产权问题及任何法律纠纷。</w:t>
      </w:r>
    </w:p>
    <w:p>
      <w:pPr>
        <w:numPr>
          <w:ilvl w:val="0"/>
          <w:numId w:val="1"/>
        </w:numPr>
        <w:rPr>
          <w:rFonts w:eastAsia="仿宋_GB2312" w:cs="仿宋_GB2312"/>
          <w:sz w:val="28"/>
          <w:szCs w:val="28"/>
        </w:rPr>
      </w:pPr>
      <w:r>
        <w:rPr>
          <w:rFonts w:hint="eastAsia" w:ascii="仿宋_GB2312" w:eastAsia="仿宋_GB2312" w:cs="仿宋_GB2312"/>
          <w:sz w:val="28"/>
          <w:szCs w:val="28"/>
          <w:lang w:bidi="ar"/>
        </w:rPr>
        <w:t>考虑到不同行业在绿色低碳方面发展阶段的差异性，尚未涉及本表中部分数据内容的企业可填“无”。</w:t>
      </w:r>
    </w:p>
    <w:p>
      <w:pPr>
        <w:pStyle w:val="2"/>
        <w:widowControl/>
        <w:numPr>
          <w:ilvl w:val="0"/>
          <w:numId w:val="1"/>
        </w:numPr>
        <w:spacing w:before="100" w:beforeAutospacing="1" w:after="0"/>
        <w:rPr>
          <w:rFonts w:ascii="Times New Roman" w:hAnsi="Times New Roman" w:eastAsia="仿宋_GB2312" w:cs="仿宋_GB2312"/>
          <w:sz w:val="28"/>
          <w:szCs w:val="28"/>
        </w:rPr>
      </w:pPr>
      <w:r>
        <w:rPr>
          <w:rFonts w:hint="eastAsia" w:ascii="仿宋_GB2312" w:hAnsi="Times New Roman" w:eastAsia="仿宋_GB2312" w:cs="仿宋_GB2312"/>
          <w:sz w:val="28"/>
          <w:szCs w:val="28"/>
        </w:rPr>
        <w:t>文字叙述应精练、明确，避免长篇累牍。定性和定量相结合，外来语用原文和中文表达。正文字体</w:t>
      </w:r>
      <w:r>
        <w:rPr>
          <w:rFonts w:ascii="Times New Roman" w:hAnsi="Times New Roman" w:eastAsia="仿宋_GB2312"/>
          <w:sz w:val="28"/>
          <w:szCs w:val="28"/>
        </w:rPr>
        <w:t>4</w:t>
      </w:r>
      <w:r>
        <w:rPr>
          <w:rFonts w:hint="eastAsia" w:ascii="仿宋_GB2312" w:hAnsi="Times New Roman" w:eastAsia="仿宋_GB2312" w:cs="仿宋_GB2312"/>
          <w:sz w:val="28"/>
          <w:szCs w:val="28"/>
        </w:rPr>
        <w:t>号仿宋，单倍行距，一级标题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号黑体，二级标题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号楷体加粗。可另附材料或图片并在相关表项中注明。</w:t>
      </w:r>
    </w:p>
    <w:p>
      <w:pPr>
        <w:pStyle w:val="2"/>
        <w:widowControl/>
        <w:numPr>
          <w:ilvl w:val="0"/>
          <w:numId w:val="1"/>
        </w:numPr>
        <w:spacing w:before="100" w:beforeAutospacing="1" w:after="0"/>
        <w:rPr>
          <w:rFonts w:ascii="Times New Roman" w:hAnsi="Times New Roman" w:eastAsia="仿宋_GB2312" w:cs="仿宋_GB2312"/>
          <w:sz w:val="28"/>
          <w:szCs w:val="28"/>
        </w:rPr>
      </w:pPr>
      <w:r>
        <w:rPr>
          <w:rFonts w:hint="eastAsia" w:ascii="仿宋_GB2312" w:hAnsi="Times New Roman" w:eastAsia="仿宋_GB2312" w:cs="仿宋_GB2312"/>
          <w:sz w:val="28"/>
          <w:szCs w:val="28"/>
        </w:rPr>
        <w:t>需根据表项内容提供证明材料，按序命名为“编号</w:t>
      </w:r>
      <w:r>
        <w:rPr>
          <w:rFonts w:ascii="Times New Roman" w:hAnsi="Times New Roman" w:eastAsia="仿宋_GB2312"/>
          <w:sz w:val="28"/>
          <w:szCs w:val="28"/>
        </w:rPr>
        <w:t>-</w:t>
      </w:r>
      <w:r>
        <w:rPr>
          <w:rFonts w:hint="eastAsia" w:ascii="仿宋_GB2312" w:hAnsi="Times New Roman" w:eastAsia="仿宋_GB2312" w:cs="仿宋_GB2312"/>
          <w:sz w:val="28"/>
          <w:szCs w:val="28"/>
        </w:rPr>
        <w:t>材料名称”，例如“</w:t>
      </w:r>
      <w:r>
        <w:rPr>
          <w:rFonts w:ascii="Times New Roman" w:hAnsi="Times New Roman" w:eastAsia="仿宋_GB2312"/>
          <w:sz w:val="28"/>
          <w:szCs w:val="28"/>
        </w:rPr>
        <w:t>1-202</w:t>
      </w:r>
      <w:r>
        <w:rPr>
          <w:rFonts w:hint="eastAsia" w:ascii="Times New Roman" w:hAnsi="Times New Roman" w:eastAsia="仿宋_GB2312"/>
          <w:sz w:val="28"/>
          <w:szCs w:val="28"/>
        </w:rPr>
        <w:t>3</w:t>
      </w:r>
      <w:r>
        <w:rPr>
          <w:rFonts w:hint="eastAsia" w:ascii="仿宋_GB2312" w:hAnsi="Times New Roman" w:eastAsia="仿宋_GB2312" w:cs="仿宋_GB2312"/>
          <w:sz w:val="28"/>
          <w:szCs w:val="28"/>
        </w:rPr>
        <w:t>年碳核查表”，并在“证明材料编号索引”处标明编号。证明材料提交的完整度将影响评价结果。</w:t>
      </w:r>
    </w:p>
    <w:p>
      <w:pPr>
        <w:pStyle w:val="2"/>
        <w:widowControl/>
        <w:numPr>
          <w:ilvl w:val="0"/>
          <w:numId w:val="1"/>
        </w:numPr>
        <w:spacing w:before="100" w:beforeAutospacing="1"/>
        <w:rPr>
          <w:rFonts w:ascii="仿宋_GB2312" w:hAnsi="Times New Roman" w:eastAsia="仿宋_GB2312" w:cs="仿宋_GB2312"/>
          <w:sz w:val="28"/>
          <w:szCs w:val="28"/>
        </w:rPr>
      </w:pPr>
      <w:r>
        <w:rPr>
          <w:rFonts w:hint="eastAsia" w:ascii="仿宋_GB2312" w:hAnsi="Times New Roman" w:eastAsia="仿宋_GB2312" w:cs="仿宋_GB2312"/>
          <w:sz w:val="28"/>
          <w:szCs w:val="28"/>
        </w:rPr>
        <w:t>填报单位须将本信息表</w:t>
      </w:r>
      <w:r>
        <w:rPr>
          <w:rFonts w:ascii="仿宋_GB2312" w:hAnsi="Times New Roman" w:eastAsia="仿宋_GB2312" w:cs="仿宋_GB2312"/>
          <w:sz w:val="28"/>
          <w:szCs w:val="28"/>
        </w:rPr>
        <w:t>Word</w:t>
      </w:r>
      <w:r>
        <w:rPr>
          <w:rFonts w:hint="eastAsia" w:ascii="仿宋_GB2312" w:hAnsi="Times New Roman" w:eastAsia="仿宋_GB2312" w:cs="仿宋_GB2312"/>
          <w:sz w:val="28"/>
          <w:szCs w:val="28"/>
        </w:rPr>
        <w:t>版、加盖单位公章版（PDF）、相关证明材料以压缩包形式发送至联系人邮箱。邮件主题与压缩包均命名为：</w:t>
      </w:r>
      <w:r>
        <w:rPr>
          <w:rFonts w:ascii="Times New Roman" w:hAnsi="Times New Roman" w:eastAsia="仿宋_GB2312"/>
          <w:b/>
          <w:sz w:val="28"/>
          <w:szCs w:val="28"/>
        </w:rPr>
        <w:t>202</w:t>
      </w:r>
      <w:r>
        <w:rPr>
          <w:rFonts w:hint="eastAsia" w:ascii="Times New Roman" w:hAnsi="Times New Roman" w:eastAsia="仿宋_GB2312"/>
          <w:b/>
          <w:sz w:val="28"/>
          <w:szCs w:val="28"/>
        </w:rPr>
        <w:t>4</w:t>
      </w:r>
      <w:r>
        <w:rPr>
          <w:rFonts w:ascii="Times New Roman" w:hAnsi="Times New Roman" w:eastAsia="仿宋_GB2312"/>
          <w:b/>
          <w:sz w:val="28"/>
          <w:szCs w:val="28"/>
        </w:rPr>
        <w:t>-</w:t>
      </w:r>
      <w:r>
        <w:rPr>
          <w:rFonts w:hint="eastAsia" w:ascii="仿宋_GB2312" w:hAnsi="Times New Roman" w:eastAsia="仿宋_GB2312" w:cs="仿宋_GB2312"/>
          <w:b/>
          <w:sz w:val="28"/>
          <w:szCs w:val="28"/>
        </w:rPr>
        <w:t>企业全称</w:t>
      </w:r>
      <w:r>
        <w:rPr>
          <w:rFonts w:hint="eastAsia" w:ascii="仿宋_GB2312" w:hAnsi="Times New Roman" w:eastAsia="仿宋_GB2312" w:cs="仿宋_GB2312"/>
          <w:sz w:val="28"/>
          <w:szCs w:val="28"/>
        </w:rPr>
        <w:t>。</w:t>
      </w:r>
    </w:p>
    <w:p>
      <w:pPr>
        <w:pStyle w:val="2"/>
        <w:widowControl/>
        <w:numPr>
          <w:ilvl w:val="0"/>
          <w:numId w:val="1"/>
        </w:numPr>
        <w:spacing w:before="100" w:beforeAutospacing="1" w:after="0"/>
        <w:rPr>
          <w:rFonts w:ascii="Times New Roman" w:hAnsi="Times New Roman"/>
          <w:b/>
          <w:color w:val="FF0000"/>
          <w:sz w:val="24"/>
          <w:szCs w:val="24"/>
        </w:rPr>
        <w:sectPr>
          <w:headerReference r:id="rId4" w:type="default"/>
          <w:footerReference r:id="rId5" w:type="default"/>
          <w:pgSz w:w="11906" w:h="16838"/>
          <w:pgMar w:top="1440" w:right="1588" w:bottom="1440" w:left="1588" w:header="851" w:footer="992" w:gutter="0"/>
          <w:cols w:space="720" w:num="1"/>
          <w:docGrid w:type="lines" w:linePitch="312" w:charSpace="0"/>
        </w:sectPr>
      </w:pPr>
    </w:p>
    <w:tbl>
      <w:tblPr>
        <w:tblStyle w:val="12"/>
        <w:tblW w:w="894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265"/>
        <w:gridCol w:w="1830"/>
        <w:gridCol w:w="219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8946" w:type="dxa"/>
            <w:gridSpan w:val="5"/>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b/>
                <w:sz w:val="24"/>
                <w:szCs w:val="24"/>
              </w:rPr>
            </w:pPr>
            <w:r>
              <w:rPr>
                <w:rFonts w:hint="eastAsia" w:ascii="宋体" w:hAnsi="宋体" w:cs="宋体"/>
                <w:b/>
                <w:sz w:val="24"/>
                <w:szCs w:val="24"/>
                <w:lang w:bidi="ar"/>
              </w:rPr>
              <w:t>第一部分：企业基本信息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rPr>
            </w:pPr>
            <w:r>
              <w:rPr>
                <w:rFonts w:hint="eastAsia" w:ascii="宋体" w:hAnsi="宋体" w:cs="宋体"/>
                <w:sz w:val="21"/>
                <w:szCs w:val="21"/>
                <w:lang w:bidi="ar"/>
              </w:rPr>
              <w:t>企业名称</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rPr>
            </w:pPr>
            <w:r>
              <w:rPr>
                <w:rFonts w:hint="eastAsia" w:ascii="宋体" w:hAnsi="宋体" w:cs="宋体"/>
                <w:sz w:val="21"/>
                <w:szCs w:val="21"/>
                <w:lang w:bidi="ar"/>
              </w:rPr>
              <w:t>统一社会信用代码</w:t>
            </w:r>
          </w:p>
        </w:tc>
        <w:tc>
          <w:tcPr>
            <w:tcW w:w="220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line="24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rPr>
            </w:pPr>
            <w:r>
              <w:rPr>
                <w:rFonts w:hint="eastAsia" w:ascii="宋体" w:hAnsi="宋体" w:cs="宋体"/>
                <w:sz w:val="21"/>
                <w:szCs w:val="21"/>
                <w:lang w:bidi="ar"/>
              </w:rPr>
              <w:t>通讯地址</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企业类型</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 xml:space="preserve">内资（□国有□集体□民营） </w:t>
            </w:r>
            <w:r>
              <w:rPr>
                <w:sz w:val="21"/>
                <w:szCs w:val="21"/>
                <w:lang w:bidi="ar"/>
              </w:rPr>
              <w:t xml:space="preserve"> </w:t>
            </w:r>
            <w:r>
              <w:rPr>
                <w:rFonts w:hint="eastAsia" w:ascii="宋体" w:hAnsi="宋体" w:cs="宋体"/>
                <w:sz w:val="21"/>
                <w:szCs w:val="21"/>
                <w:lang w:bidi="ar"/>
              </w:rPr>
              <w:t xml:space="preserve">□中外合资 </w:t>
            </w:r>
            <w:r>
              <w:rPr>
                <w:sz w:val="21"/>
                <w:szCs w:val="21"/>
                <w:lang w:bidi="ar"/>
              </w:rPr>
              <w:t xml:space="preserve"> </w:t>
            </w:r>
            <w:r>
              <w:rPr>
                <w:rFonts w:hint="eastAsia" w:ascii="宋体" w:hAnsi="宋体" w:cs="宋体"/>
                <w:sz w:val="21"/>
                <w:szCs w:val="21"/>
                <w:lang w:bidi="ar"/>
              </w:rPr>
              <w:t xml:space="preserve">□港澳台 </w:t>
            </w:r>
            <w:r>
              <w:rPr>
                <w:sz w:val="21"/>
                <w:szCs w:val="21"/>
                <w:lang w:bidi="ar"/>
              </w:rPr>
              <w:t xml:space="preserve"> </w:t>
            </w:r>
            <w:r>
              <w:rPr>
                <w:rFonts w:hint="eastAsia" w:ascii="宋体" w:hAnsi="宋体" w:cs="宋体"/>
                <w:sz w:val="21"/>
                <w:szCs w:val="21"/>
                <w:lang w:bidi="ar"/>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60" w:type="dxa"/>
            <w:vMerge w:val="restart"/>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企业基本</w:t>
            </w:r>
          </w:p>
          <w:p>
            <w:pPr>
              <w:jc w:val="center"/>
              <w:rPr>
                <w:sz w:val="21"/>
                <w:szCs w:val="21"/>
              </w:rPr>
            </w:pPr>
            <w:r>
              <w:rPr>
                <w:rFonts w:hint="eastAsia" w:ascii="宋体" w:hAnsi="宋体" w:cs="宋体"/>
                <w:sz w:val="21"/>
                <w:szCs w:val="21"/>
                <w:lang w:bidi="ar"/>
              </w:rPr>
              <w:t>经营情况</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注册时间（年份）</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注册资本（万元）</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1"/>
                <w:szCs w:val="21"/>
              </w:rPr>
            </w:pPr>
            <w:r>
              <w:rPr>
                <w:rFonts w:hint="eastAsia" w:ascii="宋体" w:hAnsi="宋体" w:cs="宋体"/>
                <w:sz w:val="21"/>
                <w:szCs w:val="21"/>
                <w:lang w:bidi="ar"/>
              </w:rPr>
              <w:t>所属行业类别</w:t>
            </w:r>
          </w:p>
        </w:tc>
        <w:tc>
          <w:tcPr>
            <w:tcW w:w="183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line="240" w:lineRule="atLeast"/>
              <w:jc w:val="center"/>
              <w:rPr>
                <w:sz w:val="21"/>
                <w:szCs w:val="21"/>
              </w:rPr>
            </w:pPr>
            <w:r>
              <w:rPr>
                <w:rFonts w:hint="eastAsia"/>
                <w:sz w:val="20"/>
                <w:szCs w:val="20"/>
              </w:rPr>
              <w:t>（按统计局四位代码填写，可多填）</w:t>
            </w: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1"/>
                <w:szCs w:val="21"/>
              </w:rPr>
            </w:pPr>
            <w:r>
              <w:rPr>
                <w:rFonts w:hint="eastAsia" w:ascii="宋体" w:hAnsi="宋体" w:cs="宋体"/>
                <w:sz w:val="21"/>
                <w:szCs w:val="21"/>
                <w:lang w:bidi="ar"/>
              </w:rPr>
              <w:t>资产总额（万元）</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职工人数</w:t>
            </w:r>
          </w:p>
        </w:tc>
        <w:tc>
          <w:tcPr>
            <w:tcW w:w="6221"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vMerge w:val="restart"/>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主营业务收入</w:t>
            </w:r>
          </w:p>
          <w:p>
            <w:pPr>
              <w:jc w:val="center"/>
              <w:rPr>
                <w:sz w:val="21"/>
                <w:szCs w:val="21"/>
              </w:rPr>
            </w:pPr>
            <w:r>
              <w:rPr>
                <w:rFonts w:hint="eastAsia" w:ascii="宋体" w:hAnsi="宋体" w:cs="宋体"/>
                <w:sz w:val="21"/>
                <w:szCs w:val="21"/>
                <w:lang w:bidi="ar"/>
              </w:rPr>
              <w:t>（万元）</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1</w:t>
            </w:r>
            <w:r>
              <w:rPr>
                <w:rFonts w:hint="eastAsia" w:ascii="宋体" w:hAnsi="宋体" w:cs="宋体"/>
                <w:sz w:val="21"/>
                <w:szCs w:val="21"/>
                <w:lang w:bidi="ar"/>
              </w:rPr>
              <w:t>年</w:t>
            </w: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2</w:t>
            </w:r>
            <w:r>
              <w:rPr>
                <w:rFonts w:hint="eastAsia" w:ascii="宋体" w:hAnsi="宋体" w:cs="宋体"/>
                <w:sz w:val="21"/>
                <w:szCs w:val="21"/>
                <w:lang w:bidi="ar"/>
              </w:rPr>
              <w:t>年</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3</w:t>
            </w:r>
            <w:r>
              <w:rPr>
                <w:rFonts w:hint="eastAsia" w:ascii="宋体" w:hAnsi="宋体" w:cs="宋体"/>
                <w:sz w:val="21"/>
                <w:szCs w:val="21"/>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vMerge w:val="restart"/>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sz w:val="21"/>
                <w:szCs w:val="21"/>
                <w:lang w:bidi="ar"/>
              </w:rPr>
              <w:t>资产</w:t>
            </w:r>
          </w:p>
          <w:p>
            <w:pPr>
              <w:jc w:val="center"/>
              <w:rPr>
                <w:sz w:val="21"/>
                <w:szCs w:val="21"/>
              </w:rPr>
            </w:pPr>
            <w:r>
              <w:rPr>
                <w:rFonts w:hint="eastAsia" w:ascii="宋体" w:hAnsi="宋体" w:cs="宋体"/>
                <w:sz w:val="21"/>
                <w:szCs w:val="21"/>
                <w:lang w:bidi="ar"/>
              </w:rPr>
              <w:t>负债率</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1</w:t>
            </w:r>
            <w:r>
              <w:rPr>
                <w:rFonts w:hint="eastAsia" w:ascii="宋体" w:hAnsi="宋体" w:cs="宋体"/>
                <w:sz w:val="21"/>
                <w:szCs w:val="21"/>
                <w:lang w:bidi="ar"/>
              </w:rPr>
              <w:t>年</w:t>
            </w: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2</w:t>
            </w:r>
            <w:r>
              <w:rPr>
                <w:rFonts w:hint="eastAsia" w:ascii="宋体" w:hAnsi="宋体" w:cs="宋体"/>
                <w:sz w:val="21"/>
                <w:szCs w:val="21"/>
                <w:lang w:bidi="ar"/>
              </w:rPr>
              <w:t>年</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202</w:t>
            </w:r>
            <w:r>
              <w:rPr>
                <w:rFonts w:hint="eastAsia"/>
                <w:sz w:val="21"/>
                <w:szCs w:val="21"/>
                <w:lang w:bidi="ar"/>
              </w:rPr>
              <w:t>3</w:t>
            </w:r>
            <w:r>
              <w:rPr>
                <w:rFonts w:hint="eastAsia" w:ascii="宋体" w:hAnsi="宋体" w:cs="宋体"/>
                <w:sz w:val="21"/>
                <w:szCs w:val="21"/>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46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265"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4" w:hRule="atLeast"/>
        </w:trPr>
        <w:tc>
          <w:tcPr>
            <w:tcW w:w="8946" w:type="dxa"/>
            <w:gridSpan w:val="5"/>
            <w:tcBorders>
              <w:top w:val="single" w:color="auto" w:sz="4" w:space="0"/>
              <w:left w:val="single" w:color="auto" w:sz="4" w:space="0"/>
              <w:bottom w:val="single" w:color="auto" w:sz="4" w:space="0"/>
              <w:right w:val="single" w:color="auto" w:sz="4" w:space="0"/>
            </w:tcBorders>
            <w:vAlign w:val="center"/>
          </w:tcPr>
          <w:p>
            <w:pPr>
              <w:rPr>
                <w:sz w:val="21"/>
                <w:szCs w:val="21"/>
              </w:rPr>
            </w:pPr>
          </w:p>
          <w:p>
            <w:pPr>
              <w:rPr>
                <w:sz w:val="21"/>
                <w:szCs w:val="21"/>
              </w:rPr>
            </w:pPr>
            <w:r>
              <w:rPr>
                <w:rFonts w:hint="eastAsia" w:ascii="宋体" w:hAnsi="宋体" w:cs="宋体"/>
                <w:sz w:val="21"/>
                <w:szCs w:val="21"/>
                <w:lang w:bidi="ar"/>
              </w:rPr>
              <w:t>承诺说明：</w:t>
            </w:r>
          </w:p>
          <w:p>
            <w:pPr>
              <w:pStyle w:val="2"/>
              <w:widowControl/>
              <w:spacing w:before="100" w:beforeAutospacing="1"/>
              <w:rPr>
                <w:rFonts w:ascii="Times New Roman" w:hAnsi="Times New Roman"/>
              </w:rPr>
            </w:pPr>
          </w:p>
          <w:p>
            <w:pPr>
              <w:ind w:firstLine="404" w:firstLineChars="200"/>
              <w:jc w:val="left"/>
              <w:rPr>
                <w:sz w:val="21"/>
                <w:szCs w:val="21"/>
              </w:rPr>
            </w:pPr>
            <w:r>
              <w:rPr>
                <w:rFonts w:hint="eastAsia" w:ascii="宋体" w:hAnsi="宋体" w:cs="宋体"/>
                <w:sz w:val="21"/>
                <w:szCs w:val="21"/>
                <w:lang w:bidi="ar"/>
              </w:rPr>
              <w:t>本单位自愿参加</w:t>
            </w:r>
            <w:r>
              <w:rPr>
                <w:sz w:val="21"/>
                <w:szCs w:val="21"/>
                <w:lang w:bidi="ar"/>
              </w:rPr>
              <w:t>202</w:t>
            </w:r>
            <w:r>
              <w:rPr>
                <w:rFonts w:hint="eastAsia"/>
                <w:sz w:val="21"/>
                <w:szCs w:val="21"/>
                <w:lang w:bidi="ar"/>
              </w:rPr>
              <w:t>4</w:t>
            </w:r>
            <w:r>
              <w:rPr>
                <w:rFonts w:hint="eastAsia" w:ascii="宋体" w:hAnsi="宋体" w:cs="宋体"/>
                <w:sz w:val="21"/>
                <w:szCs w:val="21"/>
                <w:lang w:bidi="ar"/>
              </w:rPr>
              <w:t>中国工业碳达峰“领跑者”企业信息填报工作，并郑重承诺所提交的所有材料真实无误。</w:t>
            </w:r>
          </w:p>
          <w:p>
            <w:pPr>
              <w:pStyle w:val="2"/>
              <w:widowControl/>
              <w:spacing w:before="100" w:beforeAutospacing="1"/>
              <w:rPr>
                <w:rFonts w:ascii="Times New Roman" w:hAnsi="Times New Roman"/>
              </w:rPr>
            </w:pPr>
          </w:p>
          <w:p>
            <w:pPr>
              <w:jc w:val="center"/>
              <w:rPr>
                <w:sz w:val="21"/>
                <w:szCs w:val="21"/>
              </w:rPr>
            </w:pPr>
            <w:r>
              <w:rPr>
                <w:sz w:val="21"/>
                <w:szCs w:val="21"/>
                <w:lang w:bidi="ar"/>
              </w:rPr>
              <w:t xml:space="preserve">                       </w:t>
            </w:r>
            <w:r>
              <w:rPr>
                <w:rFonts w:hint="eastAsia" w:ascii="宋体" w:hAnsi="宋体" w:cs="宋体"/>
                <w:sz w:val="21"/>
                <w:szCs w:val="21"/>
                <w:lang w:bidi="ar"/>
              </w:rPr>
              <w:t>单位公章</w:t>
            </w:r>
          </w:p>
          <w:p>
            <w:pPr>
              <w:pStyle w:val="2"/>
              <w:widowControl/>
              <w:spacing w:before="100" w:beforeAutospacing="1"/>
              <w:rPr>
                <w:rFonts w:ascii="Times New Roman" w:hAnsi="Times New Roman"/>
              </w:rPr>
            </w:pPr>
          </w:p>
          <w:p>
            <w:pPr>
              <w:jc w:val="center"/>
              <w:rPr>
                <w:color w:val="FF0000"/>
                <w:sz w:val="21"/>
                <w:szCs w:val="21"/>
              </w:rPr>
            </w:pPr>
            <w:r>
              <w:rPr>
                <w:sz w:val="21"/>
                <w:szCs w:val="21"/>
                <w:lang w:bidi="ar"/>
              </w:rPr>
              <w:t xml:space="preserve">                                     </w:t>
            </w:r>
            <w:r>
              <w:rPr>
                <w:rFonts w:hint="eastAsia" w:ascii="宋体" w:hAnsi="宋体" w:cs="宋体"/>
                <w:sz w:val="21"/>
                <w:szCs w:val="21"/>
                <w:lang w:bidi="ar"/>
              </w:rPr>
              <w:t>日期：</w:t>
            </w:r>
            <w:r>
              <w:rPr>
                <w:rFonts w:hint="eastAsia"/>
                <w:sz w:val="21"/>
                <w:szCs w:val="21"/>
                <w:lang w:bidi="ar"/>
              </w:rPr>
              <w:t xml:space="preserve"> </w:t>
            </w:r>
            <w:r>
              <w:rPr>
                <w:sz w:val="21"/>
                <w:szCs w:val="21"/>
                <w:lang w:bidi="ar"/>
              </w:rPr>
              <w:t xml:space="preserve">   </w:t>
            </w:r>
            <w:r>
              <w:rPr>
                <w:rFonts w:hint="eastAsia" w:ascii="宋体" w:hAnsi="宋体" w:cs="宋体"/>
                <w:sz w:val="21"/>
                <w:szCs w:val="21"/>
                <w:lang w:bidi="ar"/>
              </w:rPr>
              <w:t>年</w:t>
            </w:r>
            <w:r>
              <w:rPr>
                <w:rFonts w:hint="eastAsia"/>
                <w:sz w:val="21"/>
                <w:szCs w:val="21"/>
                <w:lang w:bidi="ar"/>
              </w:rPr>
              <w:t xml:space="preserve"> </w:t>
            </w:r>
            <w:r>
              <w:rPr>
                <w:sz w:val="21"/>
                <w:szCs w:val="21"/>
                <w:lang w:bidi="ar"/>
              </w:rPr>
              <w:t xml:space="preserve">  </w:t>
            </w:r>
            <w:r>
              <w:rPr>
                <w:rFonts w:hint="eastAsia" w:ascii="宋体" w:hAnsi="宋体" w:cs="宋体"/>
                <w:sz w:val="21"/>
                <w:szCs w:val="21"/>
                <w:lang w:bidi="ar"/>
              </w:rPr>
              <w:t>月</w:t>
            </w:r>
            <w:r>
              <w:rPr>
                <w:rFonts w:hint="eastAsia"/>
                <w:sz w:val="21"/>
                <w:szCs w:val="21"/>
                <w:lang w:bidi="ar"/>
              </w:rPr>
              <w:t xml:space="preserve"> </w:t>
            </w:r>
            <w:r>
              <w:rPr>
                <w:sz w:val="21"/>
                <w:szCs w:val="21"/>
                <w:lang w:bidi="ar"/>
              </w:rPr>
              <w:t xml:space="preserve">  </w:t>
            </w:r>
            <w:r>
              <w:rPr>
                <w:rFonts w:hint="eastAsia" w:ascii="宋体" w:hAnsi="宋体" w:cs="宋体"/>
                <w:sz w:val="21"/>
                <w:szCs w:val="21"/>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946" w:type="dxa"/>
            <w:gridSpan w:val="5"/>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企业联系人信息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姓名</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部门及职务</w:t>
            </w:r>
          </w:p>
        </w:tc>
        <w:tc>
          <w:tcPr>
            <w:tcW w:w="220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座机</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手机</w:t>
            </w:r>
          </w:p>
        </w:tc>
        <w:tc>
          <w:tcPr>
            <w:tcW w:w="2200" w:type="dxa"/>
            <w:tcBorders>
              <w:top w:val="single" w:color="auto" w:sz="4" w:space="0"/>
              <w:left w:val="single" w:color="auto" w:sz="4" w:space="0"/>
              <w:bottom w:val="single" w:color="auto" w:sz="4" w:space="0"/>
              <w:right w:val="single" w:color="auto" w:sz="4" w:space="0"/>
            </w:tcBorders>
          </w:tcPr>
          <w:p>
            <w:pPr>
              <w:spacing w:before="318" w:beforeLines="50" w:after="318" w:afterLines="50"/>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传真</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jc w:val="center"/>
              <w:rPr>
                <w:sz w:val="21"/>
                <w:szCs w:val="21"/>
                <w:lang w:bidi="ar"/>
              </w:rPr>
            </w:pPr>
            <w:r>
              <w:rPr>
                <w:rFonts w:hint="eastAsia" w:ascii="宋体" w:hAnsi="宋体" w:cs="宋体"/>
                <w:sz w:val="21"/>
                <w:szCs w:val="21"/>
                <w:lang w:bidi="ar"/>
              </w:rPr>
              <w:t>E-mail</w:t>
            </w:r>
          </w:p>
        </w:tc>
        <w:tc>
          <w:tcPr>
            <w:tcW w:w="2200" w:type="dxa"/>
            <w:tcBorders>
              <w:top w:val="single" w:color="auto" w:sz="4" w:space="0"/>
              <w:left w:val="single" w:color="auto" w:sz="4" w:space="0"/>
              <w:bottom w:val="single" w:color="auto" w:sz="4" w:space="0"/>
              <w:right w:val="single" w:color="auto" w:sz="4" w:space="0"/>
            </w:tcBorders>
          </w:tcPr>
          <w:p>
            <w:pPr>
              <w:spacing w:before="318" w:beforeLines="50" w:after="318" w:afterLines="50"/>
              <w:rPr>
                <w:sz w:val="21"/>
                <w:szCs w:val="21"/>
                <w:lang w:bidi="ar"/>
              </w:rPr>
            </w:pPr>
          </w:p>
        </w:tc>
      </w:tr>
    </w:tbl>
    <w:p>
      <w:pPr>
        <w:pStyle w:val="2"/>
        <w:widowControl/>
        <w:spacing w:before="100" w:beforeAutospacing="1" w:after="0"/>
        <w:rPr>
          <w:rFonts w:ascii="Times New Roman" w:hAnsi="Times New Roman" w:eastAsia="仿宋_GB2312" w:cs="仿宋_GB2312"/>
          <w:color w:val="FF0000"/>
          <w:sz w:val="32"/>
          <w:szCs w:val="32"/>
        </w:rPr>
      </w:pPr>
      <w:r>
        <w:rPr>
          <w:rFonts w:ascii="Times New Roman" w:hAnsi="Times New Roman" w:eastAsia="仿宋_GB2312" w:cs="仿宋_GB2312"/>
          <w:color w:val="FF0000"/>
        </w:rPr>
        <w:t xml:space="preserve"> </w:t>
      </w:r>
    </w:p>
    <w:tbl>
      <w:tblPr>
        <w:tblStyle w:val="12"/>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3083"/>
        <w:gridCol w:w="1654"/>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83" w:hRule="atLeast"/>
          <w:jc w:val="center"/>
        </w:trPr>
        <w:tc>
          <w:tcPr>
            <w:tcW w:w="9075" w:type="dxa"/>
            <w:gridSpan w:val="3"/>
            <w:vAlign w:val="center"/>
          </w:tcPr>
          <w:p>
            <w:pPr>
              <w:jc w:val="center"/>
              <w:rPr>
                <w:b/>
                <w:sz w:val="20"/>
              </w:rPr>
            </w:pPr>
            <w:r>
              <w:rPr>
                <w:rFonts w:hint="eastAsia"/>
                <w:b/>
                <w:sz w:val="24"/>
                <w:szCs w:val="24"/>
              </w:rPr>
              <w:t>第二部分：企业申报材料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Align w:val="center"/>
          </w:tcPr>
          <w:p>
            <w:pPr>
              <w:jc w:val="center"/>
              <w:rPr>
                <w:b/>
                <w:sz w:val="18"/>
                <w:szCs w:val="22"/>
              </w:rPr>
            </w:pPr>
            <w:r>
              <w:rPr>
                <w:b/>
                <w:sz w:val="18"/>
                <w:szCs w:val="22"/>
              </w:rPr>
              <w:t>内容</w:t>
            </w:r>
          </w:p>
        </w:tc>
        <w:tc>
          <w:tcPr>
            <w:tcW w:w="3083" w:type="dxa"/>
            <w:vAlign w:val="center"/>
          </w:tcPr>
          <w:p>
            <w:pPr>
              <w:jc w:val="center"/>
              <w:rPr>
                <w:b/>
                <w:sz w:val="18"/>
                <w:szCs w:val="22"/>
              </w:rPr>
            </w:pPr>
            <w:r>
              <w:rPr>
                <w:rFonts w:hint="eastAsia"/>
                <w:b/>
                <w:sz w:val="18"/>
                <w:szCs w:val="22"/>
              </w:rPr>
              <w:t>信息填报</w:t>
            </w:r>
          </w:p>
        </w:tc>
        <w:tc>
          <w:tcPr>
            <w:tcW w:w="1654" w:type="dxa"/>
            <w:vAlign w:val="center"/>
          </w:tcPr>
          <w:p>
            <w:pPr>
              <w:spacing w:line="200" w:lineRule="exact"/>
              <w:jc w:val="center"/>
              <w:rPr>
                <w:b/>
                <w:sz w:val="18"/>
                <w:szCs w:val="22"/>
              </w:rPr>
            </w:pPr>
            <w:r>
              <w:rPr>
                <w:rFonts w:hint="eastAsia"/>
                <w:b/>
                <w:sz w:val="18"/>
                <w:szCs w:val="22"/>
              </w:rPr>
              <w:t>证明材料</w:t>
            </w:r>
          </w:p>
          <w:p>
            <w:pPr>
              <w:spacing w:line="240" w:lineRule="exact"/>
              <w:jc w:val="center"/>
              <w:rPr>
                <w:sz w:val="18"/>
                <w:szCs w:val="22"/>
              </w:rPr>
            </w:pPr>
            <w:r>
              <w:rPr>
                <w:rFonts w:hint="eastAsia"/>
                <w:b/>
                <w:sz w:val="18"/>
                <w:szCs w:val="22"/>
              </w:rPr>
              <w:t>编号索引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vAlign w:val="center"/>
          </w:tcPr>
          <w:p>
            <w:pPr>
              <w:numPr>
                <w:ilvl w:val="0"/>
                <w:numId w:val="2"/>
              </w:numPr>
              <w:jc w:val="left"/>
              <w:rPr>
                <w:sz w:val="20"/>
                <w:shd w:val="clear" w:color="auto" w:fill="FFFFFF"/>
              </w:rPr>
            </w:pPr>
            <w:r>
              <w:rPr>
                <w:rFonts w:hint="eastAsia"/>
                <w:sz w:val="20"/>
                <w:szCs w:val="22"/>
              </w:rPr>
              <w:t>近三年综合能耗总量（吨标准煤）</w:t>
            </w:r>
          </w:p>
        </w:tc>
        <w:tc>
          <w:tcPr>
            <w:tcW w:w="3083" w:type="dxa"/>
            <w:vAlign w:val="center"/>
          </w:tcPr>
          <w:p>
            <w:pPr>
              <w:jc w:val="left"/>
              <w:rPr>
                <w:sz w:val="20"/>
                <w:szCs w:val="18"/>
              </w:rPr>
            </w:pPr>
            <w:r>
              <w:rPr>
                <w:rFonts w:hint="eastAsia"/>
                <w:sz w:val="20"/>
                <w:szCs w:val="18"/>
              </w:rPr>
              <w:t>20</w:t>
            </w:r>
            <w:r>
              <w:rPr>
                <w:sz w:val="20"/>
                <w:szCs w:val="18"/>
              </w:rPr>
              <w:t>2</w:t>
            </w:r>
            <w:r>
              <w:rPr>
                <w:rFonts w:hint="eastAsia"/>
                <w:sz w:val="20"/>
                <w:szCs w:val="18"/>
              </w:rPr>
              <w:t>1年：</w:t>
            </w:r>
          </w:p>
        </w:tc>
        <w:tc>
          <w:tcPr>
            <w:tcW w:w="1654" w:type="dxa"/>
            <w:vMerge w:val="restart"/>
            <w:vAlign w:val="center"/>
          </w:tcPr>
          <w:p>
            <w:pPr>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jc w:val="left"/>
              <w:rPr>
                <w:sz w:val="20"/>
                <w:shd w:val="clear" w:color="auto" w:fill="FFFFFF"/>
              </w:rPr>
            </w:pPr>
          </w:p>
        </w:tc>
        <w:tc>
          <w:tcPr>
            <w:tcW w:w="3083" w:type="dxa"/>
            <w:vAlign w:val="center"/>
          </w:tcPr>
          <w:p>
            <w:pPr>
              <w:jc w:val="left"/>
              <w:rPr>
                <w:sz w:val="20"/>
                <w:szCs w:val="18"/>
              </w:rPr>
            </w:pPr>
            <w:r>
              <w:rPr>
                <w:rFonts w:hint="eastAsia"/>
                <w:sz w:val="20"/>
                <w:szCs w:val="18"/>
              </w:rPr>
              <w:t>2022年：</w:t>
            </w:r>
          </w:p>
        </w:tc>
        <w:tc>
          <w:tcPr>
            <w:tcW w:w="1654" w:type="dxa"/>
            <w:vMerge w:val="continue"/>
            <w:vAlign w:val="center"/>
          </w:tcPr>
          <w:p>
            <w:pPr>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16"/>
                <w:szCs w:val="16"/>
              </w:rPr>
            </w:pPr>
            <w:r>
              <w:rPr>
                <w:rFonts w:hint="eastAsia"/>
                <w:sz w:val="20"/>
                <w:szCs w:val="18"/>
              </w:rPr>
              <w:t>2023年：</w:t>
            </w:r>
          </w:p>
        </w:tc>
        <w:tc>
          <w:tcPr>
            <w:tcW w:w="1654" w:type="dxa"/>
            <w:vMerge w:val="continue"/>
            <w:vAlign w:val="center"/>
          </w:tcPr>
          <w:p>
            <w:pPr>
              <w:jc w:val="center"/>
              <w:rPr>
                <w:rFonts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vAlign w:val="center"/>
          </w:tcPr>
          <w:p>
            <w:pPr>
              <w:pStyle w:val="2"/>
              <w:numPr>
                <w:ilvl w:val="0"/>
                <w:numId w:val="2"/>
              </w:numPr>
              <w:jc w:val="left"/>
              <w:rPr>
                <w:rFonts w:ascii="Times New Roman" w:hAnsi="Times New Roman"/>
                <w:sz w:val="20"/>
                <w:szCs w:val="22"/>
              </w:rPr>
            </w:pPr>
            <w:r>
              <w:rPr>
                <w:rFonts w:hint="eastAsia" w:ascii="Times New Roman" w:hAnsi="Times New Roman"/>
                <w:sz w:val="20"/>
                <w:szCs w:val="22"/>
              </w:rPr>
              <w:t>近三年单位产值</w:t>
            </w:r>
            <w:r>
              <w:rPr>
                <w:rStyle w:val="11"/>
                <w:rFonts w:hint="eastAsia"/>
                <w:sz w:val="20"/>
                <w:szCs w:val="22"/>
              </w:rPr>
              <w:footnoteReference w:id="0"/>
            </w:r>
            <w:r>
              <w:rPr>
                <w:rFonts w:hint="eastAsia" w:ascii="Times New Roman" w:hAnsi="Times New Roman"/>
                <w:sz w:val="20"/>
                <w:szCs w:val="22"/>
              </w:rPr>
              <w:t>综合能耗（企业综合能耗与总产值之比，吨标准煤/万元）</w:t>
            </w:r>
          </w:p>
        </w:tc>
        <w:tc>
          <w:tcPr>
            <w:tcW w:w="3083" w:type="dxa"/>
            <w:vAlign w:val="center"/>
          </w:tcPr>
          <w:p>
            <w:pPr>
              <w:jc w:val="left"/>
              <w:rPr>
                <w:sz w:val="16"/>
                <w:szCs w:val="16"/>
              </w:rPr>
            </w:pPr>
            <w:r>
              <w:rPr>
                <w:rFonts w:hint="eastAsia"/>
                <w:sz w:val="20"/>
                <w:szCs w:val="18"/>
              </w:rPr>
              <w:t>20</w:t>
            </w:r>
            <w:r>
              <w:rPr>
                <w:sz w:val="20"/>
                <w:szCs w:val="18"/>
              </w:rPr>
              <w:t>2</w:t>
            </w:r>
            <w:r>
              <w:rPr>
                <w:rFonts w:hint="eastAsia"/>
                <w:sz w:val="20"/>
                <w:szCs w:val="18"/>
              </w:rPr>
              <w:t>1年：</w:t>
            </w:r>
          </w:p>
        </w:tc>
        <w:tc>
          <w:tcPr>
            <w:tcW w:w="1654" w:type="dxa"/>
            <w:vMerge w:val="restart"/>
            <w:vAlign w:val="center"/>
          </w:tcPr>
          <w:p>
            <w:pPr>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szCs w:val="18"/>
              </w:rPr>
            </w:pPr>
            <w:r>
              <w:rPr>
                <w:rFonts w:hint="eastAsia"/>
                <w:sz w:val="20"/>
                <w:szCs w:val="18"/>
              </w:rPr>
              <w:t>2022年：</w:t>
            </w:r>
          </w:p>
        </w:tc>
        <w:tc>
          <w:tcPr>
            <w:tcW w:w="1654" w:type="dxa"/>
            <w:vMerge w:val="continue"/>
            <w:vAlign w:val="center"/>
          </w:tcPr>
          <w:p>
            <w:pPr>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szCs w:val="18"/>
              </w:rPr>
            </w:pPr>
            <w:r>
              <w:rPr>
                <w:rFonts w:hint="eastAsia"/>
                <w:sz w:val="20"/>
                <w:szCs w:val="18"/>
              </w:rPr>
              <w:t>2023年：</w:t>
            </w:r>
          </w:p>
        </w:tc>
        <w:tc>
          <w:tcPr>
            <w:tcW w:w="1654" w:type="dxa"/>
            <w:vMerge w:val="continue"/>
            <w:vAlign w:val="center"/>
          </w:tcPr>
          <w:p>
            <w:pPr>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tcBorders>
              <w:top w:val="nil"/>
              <w:left w:val="single" w:color="auto" w:sz="4" w:space="0"/>
              <w:bottom w:val="nil"/>
            </w:tcBorders>
            <w:vAlign w:val="center"/>
          </w:tcPr>
          <w:p>
            <w:pPr>
              <w:pStyle w:val="2"/>
              <w:numPr>
                <w:ilvl w:val="0"/>
                <w:numId w:val="2"/>
              </w:numPr>
              <w:jc w:val="left"/>
              <w:rPr>
                <w:rFonts w:ascii="Times New Roman" w:hAnsi="Times New Roman"/>
                <w:sz w:val="20"/>
                <w:szCs w:val="22"/>
              </w:rPr>
            </w:pPr>
            <w:r>
              <w:rPr>
                <w:rFonts w:hint="eastAsia" w:ascii="Times New Roman" w:hAnsi="Times New Roman"/>
                <w:sz w:val="20"/>
                <w:szCs w:val="22"/>
              </w:rPr>
              <w:t>近三年碳排放量</w:t>
            </w:r>
            <w:r>
              <w:rPr>
                <w:rStyle w:val="11"/>
                <w:rFonts w:hint="eastAsia"/>
                <w:sz w:val="20"/>
                <w:szCs w:val="22"/>
              </w:rPr>
              <w:footnoteReference w:id="1"/>
            </w:r>
            <w:r>
              <w:rPr>
                <w:rFonts w:hint="eastAsia" w:ascii="Times New Roman" w:hAnsi="Times New Roman"/>
                <w:sz w:val="20"/>
                <w:szCs w:val="22"/>
              </w:rPr>
              <w:t>（吨二氧化碳当量）</w:t>
            </w:r>
          </w:p>
        </w:tc>
        <w:tc>
          <w:tcPr>
            <w:tcW w:w="3083" w:type="dxa"/>
            <w:tcBorders>
              <w:top w:val="nil"/>
              <w:bottom w:val="nil"/>
            </w:tcBorders>
            <w:vAlign w:val="center"/>
          </w:tcPr>
          <w:p>
            <w:pPr>
              <w:jc w:val="left"/>
              <w:rPr>
                <w:rFonts w:cs="微软雅黑"/>
                <w:sz w:val="16"/>
                <w:szCs w:val="16"/>
                <w:shd w:val="clear" w:color="auto" w:fill="FFFFFF"/>
              </w:rPr>
            </w:pPr>
            <w:r>
              <w:rPr>
                <w:rFonts w:hint="eastAsia"/>
                <w:sz w:val="20"/>
                <w:szCs w:val="18"/>
              </w:rPr>
              <w:t>20</w:t>
            </w:r>
            <w:r>
              <w:rPr>
                <w:sz w:val="20"/>
                <w:szCs w:val="18"/>
              </w:rPr>
              <w:t>2</w:t>
            </w:r>
            <w:r>
              <w:rPr>
                <w:rFonts w:hint="eastAsia"/>
                <w:sz w:val="20"/>
                <w:szCs w:val="18"/>
              </w:rPr>
              <w:t>1年：</w:t>
            </w:r>
          </w:p>
        </w:tc>
        <w:tc>
          <w:tcPr>
            <w:tcW w:w="1654" w:type="dxa"/>
            <w:vMerge w:val="restart"/>
            <w:tcBorders>
              <w:top w:val="nil"/>
              <w:bottom w:val="nil"/>
              <w:right w:val="single" w:color="auto" w:sz="4" w:space="0"/>
            </w:tcBorders>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tcBorders>
              <w:top w:val="nil"/>
              <w:left w:val="single" w:color="auto" w:sz="4" w:space="0"/>
            </w:tcBorders>
            <w:vAlign w:val="center"/>
          </w:tcPr>
          <w:p>
            <w:pPr>
              <w:jc w:val="left"/>
              <w:rPr>
                <w:sz w:val="20"/>
                <w:shd w:val="clear" w:color="auto" w:fill="FFFFFF"/>
              </w:rPr>
            </w:pPr>
          </w:p>
        </w:tc>
        <w:tc>
          <w:tcPr>
            <w:tcW w:w="3083" w:type="dxa"/>
            <w:tcBorders>
              <w:top w:val="nil"/>
            </w:tcBorders>
            <w:vAlign w:val="center"/>
          </w:tcPr>
          <w:p>
            <w:pPr>
              <w:jc w:val="left"/>
              <w:rPr>
                <w:sz w:val="20"/>
                <w:szCs w:val="18"/>
              </w:rPr>
            </w:pPr>
            <w:r>
              <w:rPr>
                <w:rFonts w:hint="eastAsia"/>
                <w:sz w:val="20"/>
                <w:szCs w:val="18"/>
              </w:rPr>
              <w:t>2022年：</w:t>
            </w:r>
          </w:p>
        </w:tc>
        <w:tc>
          <w:tcPr>
            <w:tcW w:w="1654" w:type="dxa"/>
            <w:vMerge w:val="continue"/>
            <w:tcBorders>
              <w:top w:val="nil"/>
              <w:right w:val="single" w:color="auto" w:sz="4" w:space="0"/>
            </w:tcBorders>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tcBorders>
              <w:left w:val="single" w:color="auto" w:sz="4" w:space="0"/>
            </w:tcBorders>
            <w:vAlign w:val="center"/>
          </w:tcPr>
          <w:p>
            <w:pPr>
              <w:jc w:val="left"/>
              <w:rPr>
                <w:sz w:val="20"/>
                <w:shd w:val="clear" w:color="auto" w:fill="FFFFFF"/>
              </w:rPr>
            </w:pPr>
          </w:p>
        </w:tc>
        <w:tc>
          <w:tcPr>
            <w:tcW w:w="3083" w:type="dxa"/>
            <w:vAlign w:val="center"/>
          </w:tcPr>
          <w:p>
            <w:pPr>
              <w:jc w:val="left"/>
              <w:rPr>
                <w:sz w:val="20"/>
                <w:szCs w:val="18"/>
              </w:rPr>
            </w:pPr>
            <w:r>
              <w:rPr>
                <w:rFonts w:hint="eastAsia"/>
                <w:sz w:val="20"/>
                <w:szCs w:val="18"/>
              </w:rPr>
              <w:t>2023年：</w:t>
            </w:r>
          </w:p>
        </w:tc>
        <w:tc>
          <w:tcPr>
            <w:tcW w:w="1654" w:type="dxa"/>
            <w:vMerge w:val="continue"/>
            <w:tcBorders>
              <w:right w:val="single" w:color="auto" w:sz="4" w:space="0"/>
            </w:tcBorders>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vAlign w:val="center"/>
          </w:tcPr>
          <w:p>
            <w:pPr>
              <w:pStyle w:val="2"/>
              <w:jc w:val="left"/>
              <w:rPr>
                <w:rFonts w:ascii="Times New Roman" w:hAnsi="Times New Roman"/>
                <w:sz w:val="20"/>
                <w:szCs w:val="22"/>
              </w:rPr>
            </w:pPr>
            <w:r>
              <w:rPr>
                <w:rFonts w:hint="eastAsia" w:ascii="Times New Roman" w:hAnsi="Times New Roman"/>
                <w:sz w:val="20"/>
                <w:szCs w:val="22"/>
              </w:rPr>
              <w:t>4</w:t>
            </w:r>
            <w:r>
              <w:rPr>
                <w:rFonts w:ascii="Times New Roman" w:hAnsi="Times New Roman"/>
                <w:sz w:val="20"/>
                <w:szCs w:val="22"/>
              </w:rPr>
              <w:t xml:space="preserve">. </w:t>
            </w:r>
            <w:r>
              <w:rPr>
                <w:rFonts w:hint="eastAsia" w:ascii="Times New Roman" w:hAnsi="Times New Roman"/>
                <w:sz w:val="20"/>
                <w:szCs w:val="22"/>
              </w:rPr>
              <w:t>近三年碳排放强度（碳排放量与企业总产值之比：吨二氧化碳当量/万元）</w:t>
            </w:r>
          </w:p>
        </w:tc>
        <w:tc>
          <w:tcPr>
            <w:tcW w:w="3083" w:type="dxa"/>
            <w:vAlign w:val="center"/>
          </w:tcPr>
          <w:p>
            <w:pPr>
              <w:jc w:val="left"/>
              <w:rPr>
                <w:sz w:val="20"/>
                <w:szCs w:val="22"/>
              </w:rPr>
            </w:pPr>
            <w:r>
              <w:rPr>
                <w:rFonts w:hint="eastAsia"/>
                <w:sz w:val="20"/>
                <w:szCs w:val="22"/>
              </w:rPr>
              <w:t>20</w:t>
            </w:r>
            <w:r>
              <w:rPr>
                <w:sz w:val="20"/>
                <w:szCs w:val="22"/>
              </w:rPr>
              <w:t>2</w:t>
            </w:r>
            <w:r>
              <w:rPr>
                <w:rFonts w:hint="eastAsia"/>
                <w:sz w:val="20"/>
                <w:szCs w:val="22"/>
              </w:rPr>
              <w:t>1年：</w:t>
            </w:r>
          </w:p>
        </w:tc>
        <w:tc>
          <w:tcPr>
            <w:tcW w:w="1654" w:type="dxa"/>
            <w:vMerge w:val="restart"/>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szCs w:val="22"/>
              </w:rPr>
            </w:pPr>
            <w:r>
              <w:rPr>
                <w:rFonts w:hint="eastAsia"/>
                <w:sz w:val="20"/>
                <w:szCs w:val="22"/>
              </w:rPr>
              <w:t>2022年：</w:t>
            </w:r>
          </w:p>
        </w:tc>
        <w:tc>
          <w:tcPr>
            <w:tcW w:w="1654" w:type="dxa"/>
            <w:vMerge w:val="continue"/>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szCs w:val="22"/>
              </w:rPr>
            </w:pPr>
            <w:r>
              <w:rPr>
                <w:rFonts w:hint="eastAsia"/>
                <w:sz w:val="20"/>
                <w:szCs w:val="22"/>
              </w:rPr>
              <w:t>2023年：</w:t>
            </w:r>
          </w:p>
        </w:tc>
        <w:tc>
          <w:tcPr>
            <w:tcW w:w="1654" w:type="dxa"/>
            <w:vMerge w:val="continue"/>
            <w:vAlign w:val="center"/>
          </w:tcPr>
          <w:p>
            <w:pPr>
              <w:pStyle w:val="2"/>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vAlign w:val="center"/>
          </w:tcPr>
          <w:p>
            <w:pPr>
              <w:pStyle w:val="2"/>
              <w:jc w:val="left"/>
              <w:rPr>
                <w:rFonts w:ascii="Times New Roman" w:hAnsi="Times New Roman"/>
                <w:sz w:val="20"/>
                <w:szCs w:val="22"/>
              </w:rPr>
            </w:pPr>
            <w:r>
              <w:rPr>
                <w:rFonts w:hint="eastAsia" w:ascii="Times New Roman" w:hAnsi="Times New Roman"/>
                <w:sz w:val="20"/>
                <w:szCs w:val="22"/>
              </w:rPr>
              <w:t>5</w:t>
            </w:r>
            <w:r>
              <w:rPr>
                <w:rFonts w:ascii="Times New Roman" w:hAnsi="Times New Roman"/>
                <w:sz w:val="20"/>
                <w:szCs w:val="22"/>
              </w:rPr>
              <w:t xml:space="preserve">. </w:t>
            </w:r>
            <w:r>
              <w:rPr>
                <w:rFonts w:hint="eastAsia" w:ascii="Times New Roman" w:hAnsi="Times New Roman"/>
                <w:sz w:val="20"/>
                <w:szCs w:val="22"/>
              </w:rPr>
              <w:t>近三年绿电</w:t>
            </w:r>
            <w:r>
              <w:rPr>
                <w:rStyle w:val="11"/>
                <w:rFonts w:hint="eastAsia"/>
                <w:sz w:val="20"/>
                <w:szCs w:val="22"/>
              </w:rPr>
              <w:footnoteReference w:id="2"/>
            </w:r>
            <w:r>
              <w:rPr>
                <w:rFonts w:hint="eastAsia" w:ascii="Times New Roman" w:hAnsi="Times New Roman"/>
                <w:sz w:val="20"/>
                <w:szCs w:val="22"/>
              </w:rPr>
              <w:t>使用量（MWh）</w:t>
            </w:r>
          </w:p>
        </w:tc>
        <w:tc>
          <w:tcPr>
            <w:tcW w:w="3083" w:type="dxa"/>
            <w:vAlign w:val="center"/>
          </w:tcPr>
          <w:p>
            <w:pPr>
              <w:jc w:val="left"/>
              <w:rPr>
                <w:sz w:val="20"/>
              </w:rPr>
            </w:pPr>
            <w:r>
              <w:rPr>
                <w:rFonts w:hint="eastAsia"/>
                <w:sz w:val="20"/>
              </w:rPr>
              <w:t>2021年：</w:t>
            </w:r>
          </w:p>
        </w:tc>
        <w:tc>
          <w:tcPr>
            <w:tcW w:w="1654" w:type="dxa"/>
            <w:vMerge w:val="restart"/>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rPr>
            </w:pPr>
            <w:r>
              <w:rPr>
                <w:rFonts w:hint="eastAsia"/>
                <w:sz w:val="20"/>
              </w:rPr>
              <w:t>2022年：</w:t>
            </w:r>
          </w:p>
        </w:tc>
        <w:tc>
          <w:tcPr>
            <w:tcW w:w="1654" w:type="dxa"/>
            <w:vMerge w:val="continue"/>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rPr>
            </w:pPr>
            <w:r>
              <w:rPr>
                <w:rFonts w:hint="eastAsia"/>
                <w:sz w:val="20"/>
              </w:rPr>
              <w:t>2023年：</w:t>
            </w:r>
          </w:p>
        </w:tc>
        <w:tc>
          <w:tcPr>
            <w:tcW w:w="1654" w:type="dxa"/>
            <w:vMerge w:val="continue"/>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restart"/>
            <w:vAlign w:val="center"/>
          </w:tcPr>
          <w:p>
            <w:pPr>
              <w:pStyle w:val="2"/>
              <w:jc w:val="left"/>
              <w:rPr>
                <w:rFonts w:ascii="Times New Roman" w:hAnsi="Times New Roman"/>
                <w:sz w:val="20"/>
                <w:szCs w:val="22"/>
              </w:rPr>
            </w:pPr>
            <w:r>
              <w:rPr>
                <w:rFonts w:hint="eastAsia" w:ascii="Times New Roman" w:hAnsi="Times New Roman"/>
                <w:sz w:val="20"/>
                <w:szCs w:val="22"/>
              </w:rPr>
              <w:t>6</w:t>
            </w:r>
            <w:r>
              <w:rPr>
                <w:rFonts w:ascii="Times New Roman" w:hAnsi="Times New Roman"/>
                <w:sz w:val="20"/>
                <w:szCs w:val="22"/>
              </w:rPr>
              <w:t xml:space="preserve">. </w:t>
            </w:r>
            <w:r>
              <w:rPr>
                <w:rFonts w:hint="eastAsia" w:ascii="Times New Roman" w:hAnsi="Times New Roman"/>
                <w:sz w:val="20"/>
                <w:szCs w:val="22"/>
              </w:rPr>
              <w:t>近三年绿电占电力消费量比重（%）；</w:t>
            </w:r>
          </w:p>
          <w:p>
            <w:pPr>
              <w:pStyle w:val="2"/>
              <w:ind w:firstLine="192" w:firstLineChars="100"/>
              <w:jc w:val="left"/>
              <w:rPr>
                <w:rFonts w:ascii="Times New Roman" w:hAnsi="Times New Roman"/>
                <w:sz w:val="20"/>
                <w:szCs w:val="22"/>
              </w:rPr>
            </w:pPr>
            <w:r>
              <w:rPr>
                <w:rFonts w:hint="eastAsia" w:ascii="Times New Roman" w:hAnsi="Times New Roman"/>
                <w:sz w:val="20"/>
                <w:szCs w:val="22"/>
              </w:rPr>
              <w:t>近三年外购绿电占电力消费量比重（%）</w:t>
            </w:r>
          </w:p>
        </w:tc>
        <w:tc>
          <w:tcPr>
            <w:tcW w:w="3083" w:type="dxa"/>
            <w:vAlign w:val="center"/>
          </w:tcPr>
          <w:p>
            <w:pPr>
              <w:jc w:val="left"/>
              <w:rPr>
                <w:sz w:val="20"/>
              </w:rPr>
            </w:pPr>
            <w:r>
              <w:rPr>
                <w:rFonts w:hint="eastAsia"/>
                <w:sz w:val="20"/>
              </w:rPr>
              <w:t xml:space="preserve">2021年：      </w:t>
            </w:r>
            <w:r>
              <w:rPr>
                <w:rFonts w:hint="eastAsia"/>
                <w:sz w:val="20"/>
                <w:szCs w:val="22"/>
              </w:rPr>
              <w:t xml:space="preserve">%；     </w:t>
            </w:r>
            <w:r>
              <w:rPr>
                <w:rFonts w:hint="eastAsia"/>
                <w:sz w:val="20"/>
              </w:rPr>
              <w:t xml:space="preserve"> </w:t>
            </w:r>
            <w:r>
              <w:rPr>
                <w:rFonts w:hint="eastAsia"/>
                <w:sz w:val="20"/>
                <w:szCs w:val="22"/>
              </w:rPr>
              <w:t>%</w:t>
            </w:r>
          </w:p>
        </w:tc>
        <w:tc>
          <w:tcPr>
            <w:tcW w:w="1654" w:type="dxa"/>
            <w:vMerge w:val="restart"/>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rPr>
            </w:pPr>
            <w:r>
              <w:rPr>
                <w:rFonts w:hint="eastAsia"/>
                <w:sz w:val="20"/>
              </w:rPr>
              <w:t xml:space="preserve">2022年：      </w:t>
            </w:r>
            <w:r>
              <w:rPr>
                <w:rFonts w:hint="eastAsia"/>
                <w:sz w:val="20"/>
                <w:szCs w:val="22"/>
              </w:rPr>
              <w:t xml:space="preserve">%；     </w:t>
            </w:r>
            <w:r>
              <w:rPr>
                <w:rFonts w:hint="eastAsia"/>
                <w:sz w:val="20"/>
              </w:rPr>
              <w:t xml:space="preserve"> </w:t>
            </w:r>
            <w:r>
              <w:rPr>
                <w:rFonts w:hint="eastAsia"/>
                <w:sz w:val="20"/>
                <w:szCs w:val="22"/>
              </w:rPr>
              <w:t>%</w:t>
            </w:r>
          </w:p>
        </w:tc>
        <w:tc>
          <w:tcPr>
            <w:tcW w:w="1654" w:type="dxa"/>
            <w:vMerge w:val="continue"/>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338" w:type="dxa"/>
            <w:vMerge w:val="continue"/>
            <w:vAlign w:val="center"/>
          </w:tcPr>
          <w:p>
            <w:pPr>
              <w:pStyle w:val="2"/>
              <w:jc w:val="left"/>
              <w:rPr>
                <w:rFonts w:ascii="Times New Roman" w:hAnsi="Times New Roman"/>
                <w:sz w:val="20"/>
                <w:szCs w:val="22"/>
              </w:rPr>
            </w:pPr>
          </w:p>
        </w:tc>
        <w:tc>
          <w:tcPr>
            <w:tcW w:w="3083" w:type="dxa"/>
            <w:vAlign w:val="center"/>
          </w:tcPr>
          <w:p>
            <w:pPr>
              <w:jc w:val="left"/>
              <w:rPr>
                <w:sz w:val="20"/>
              </w:rPr>
            </w:pPr>
            <w:r>
              <w:rPr>
                <w:rFonts w:hint="eastAsia"/>
                <w:sz w:val="20"/>
              </w:rPr>
              <w:t xml:space="preserve">2023年：      </w:t>
            </w:r>
            <w:r>
              <w:rPr>
                <w:rFonts w:hint="eastAsia"/>
                <w:sz w:val="20"/>
                <w:szCs w:val="22"/>
              </w:rPr>
              <w:t xml:space="preserve">%；     </w:t>
            </w:r>
            <w:r>
              <w:rPr>
                <w:rFonts w:hint="eastAsia"/>
                <w:sz w:val="20"/>
              </w:rPr>
              <w:t xml:space="preserve"> </w:t>
            </w:r>
            <w:r>
              <w:rPr>
                <w:rFonts w:hint="eastAsia"/>
                <w:sz w:val="20"/>
                <w:szCs w:val="22"/>
              </w:rPr>
              <w:t>%</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38" w:type="dxa"/>
            <w:vAlign w:val="center"/>
          </w:tcPr>
          <w:p>
            <w:pPr>
              <w:numPr>
                <w:ilvl w:val="0"/>
                <w:numId w:val="3"/>
              </w:numPr>
              <w:jc w:val="left"/>
            </w:pPr>
            <w:r>
              <w:rPr>
                <w:rFonts w:hint="eastAsia"/>
                <w:sz w:val="20"/>
              </w:rPr>
              <w:t>达到工业重点领域能效标杆水平</w:t>
            </w:r>
            <w:r>
              <w:rPr>
                <w:rStyle w:val="11"/>
                <w:rFonts w:hint="eastAsia"/>
                <w:sz w:val="20"/>
              </w:rPr>
              <w:footnoteReference w:id="3"/>
            </w:r>
            <w:r>
              <w:rPr>
                <w:rFonts w:hint="eastAsia"/>
                <w:sz w:val="20"/>
              </w:rPr>
              <w:t>；其他行业达到相应国家能源消耗限额标准先进值或能效1级水平</w:t>
            </w:r>
          </w:p>
        </w:tc>
        <w:tc>
          <w:tcPr>
            <w:tcW w:w="3083" w:type="dxa"/>
            <w:vAlign w:val="center"/>
          </w:tcPr>
          <w:p>
            <w:pPr>
              <w:jc w:val="left"/>
              <w:rPr>
                <w:sz w:val="20"/>
              </w:rPr>
            </w:pPr>
            <w:r>
              <w:rPr>
                <w:rFonts w:hint="eastAsia"/>
                <w:sz w:val="20"/>
              </w:rPr>
              <w:t>（ ）是            （ ）否</w:t>
            </w:r>
          </w:p>
          <w:p>
            <w:pPr>
              <w:pStyle w:val="2"/>
            </w:pPr>
          </w:p>
        </w:tc>
        <w:tc>
          <w:tcPr>
            <w:tcW w:w="1683" w:type="dxa"/>
            <w:gridSpan w:val="2"/>
            <w:vAlign w:val="center"/>
          </w:tcPr>
          <w:p>
            <w:pPr>
              <w:jc w:val="center"/>
              <w:rPr>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38" w:type="dxa"/>
            <w:vAlign w:val="center"/>
          </w:tcPr>
          <w:p>
            <w:pPr>
              <w:numPr>
                <w:ilvl w:val="0"/>
                <w:numId w:val="3"/>
              </w:numPr>
              <w:jc w:val="left"/>
              <w:rPr>
                <w:sz w:val="20"/>
              </w:rPr>
            </w:pPr>
            <w:r>
              <w:rPr>
                <w:rFonts w:hint="eastAsia"/>
                <w:sz w:val="20"/>
              </w:rPr>
              <w:t>按照国家发改委或者其他国际标准的方法核算或盘查企业近三年碳排放量，并建立企业碳排放数据台账</w:t>
            </w:r>
          </w:p>
        </w:tc>
        <w:tc>
          <w:tcPr>
            <w:tcW w:w="3083" w:type="dxa"/>
            <w:vAlign w:val="center"/>
          </w:tcPr>
          <w:p>
            <w:pPr>
              <w:jc w:val="left"/>
              <w:rPr>
                <w:sz w:val="20"/>
              </w:rPr>
            </w:pPr>
            <w:r>
              <w:rPr>
                <w:rFonts w:hint="eastAsia"/>
                <w:sz w:val="20"/>
              </w:rPr>
              <w:t>（ ）是            （ ）否</w:t>
            </w:r>
          </w:p>
        </w:tc>
        <w:tc>
          <w:tcPr>
            <w:tcW w:w="1683" w:type="dxa"/>
            <w:gridSpan w:val="2"/>
            <w:vAlign w:val="center"/>
          </w:tcPr>
          <w:p>
            <w:pPr>
              <w:pStyle w:val="2"/>
              <w:jc w:val="center"/>
              <w:rPr>
                <w:rFonts w:ascii="Times New Roman" w:hAnsi="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38" w:type="dxa"/>
            <w:vAlign w:val="center"/>
          </w:tcPr>
          <w:p>
            <w:pPr>
              <w:numPr>
                <w:ilvl w:val="0"/>
                <w:numId w:val="3"/>
              </w:numPr>
              <w:jc w:val="left"/>
              <w:rPr>
                <w:sz w:val="20"/>
              </w:rPr>
            </w:pPr>
            <w:r>
              <w:rPr>
                <w:rFonts w:hint="eastAsia"/>
                <w:sz w:val="20"/>
              </w:rPr>
              <w:t>设立“双碳”管理公司或部门专项推进碳达峰碳中和工作</w:t>
            </w:r>
          </w:p>
        </w:tc>
        <w:tc>
          <w:tcPr>
            <w:tcW w:w="3083" w:type="dxa"/>
            <w:vAlign w:val="center"/>
          </w:tcPr>
          <w:p>
            <w:pPr>
              <w:jc w:val="left"/>
              <w:rPr>
                <w:sz w:val="20"/>
              </w:rPr>
            </w:pPr>
            <w:r>
              <w:rPr>
                <w:rFonts w:hint="eastAsia"/>
                <w:sz w:val="20"/>
              </w:rPr>
              <w:t>（ ）是：（ ）公司；（ ）部门（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38" w:type="dxa"/>
            <w:vAlign w:val="center"/>
          </w:tcPr>
          <w:p>
            <w:pPr>
              <w:numPr>
                <w:ilvl w:val="0"/>
                <w:numId w:val="3"/>
              </w:numPr>
              <w:jc w:val="left"/>
              <w:rPr>
                <w:sz w:val="20"/>
              </w:rPr>
            </w:pPr>
            <w:r>
              <w:rPr>
                <w:rFonts w:hint="eastAsia"/>
                <w:sz w:val="20"/>
              </w:rPr>
              <w:t>有技术/工艺/项目纳入到国家部委发布的相关节能低碳技术推广目录</w:t>
            </w:r>
            <w:r>
              <w:rPr>
                <w:rStyle w:val="11"/>
                <w:rFonts w:hint="eastAsia"/>
                <w:sz w:val="20"/>
              </w:rPr>
              <w:footnoteReference w:id="4"/>
            </w:r>
          </w:p>
        </w:tc>
        <w:tc>
          <w:tcPr>
            <w:tcW w:w="3083" w:type="dxa"/>
            <w:vAlign w:val="center"/>
          </w:tcPr>
          <w:p>
            <w:pPr>
              <w:jc w:val="left"/>
              <w:rPr>
                <w:sz w:val="20"/>
              </w:rPr>
            </w:pPr>
            <w:r>
              <w:rPr>
                <w:rFonts w:hint="eastAsia"/>
                <w:sz w:val="20"/>
              </w:rPr>
              <w:t>（ ）是，请列举</w:t>
            </w:r>
            <w:r>
              <w:rPr>
                <w:rFonts w:hint="eastAsia"/>
                <w:sz w:val="20"/>
                <w:u w:val="single"/>
              </w:rPr>
              <w:t xml:space="preserve">                           </w:t>
            </w:r>
            <w:r>
              <w:rPr>
                <w:rFonts w:hint="eastAsia"/>
                <w:sz w:val="20"/>
              </w:rPr>
              <w:t xml:space="preserve">     </w:t>
            </w:r>
          </w:p>
          <w:p>
            <w:pPr>
              <w:jc w:val="left"/>
              <w:rPr>
                <w:sz w:val="20"/>
              </w:rPr>
            </w:pPr>
            <w:r>
              <w:rPr>
                <w:rFonts w:hint="eastAsia"/>
                <w:sz w:val="20"/>
              </w:rPr>
              <w:t>（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8" w:type="dxa"/>
            <w:vAlign w:val="center"/>
          </w:tcPr>
          <w:p>
            <w:pPr>
              <w:numPr>
                <w:ilvl w:val="0"/>
                <w:numId w:val="3"/>
              </w:numPr>
              <w:jc w:val="left"/>
              <w:rPr>
                <w:sz w:val="20"/>
              </w:rPr>
            </w:pPr>
            <w:r>
              <w:rPr>
                <w:rFonts w:hint="eastAsia"/>
                <w:sz w:val="20"/>
              </w:rPr>
              <w:t>已纳入全国或碳交易试点碳排放权交易系统（ETS）</w:t>
            </w:r>
          </w:p>
        </w:tc>
        <w:tc>
          <w:tcPr>
            <w:tcW w:w="3083" w:type="dxa"/>
            <w:vAlign w:val="center"/>
          </w:tcPr>
          <w:p>
            <w:pPr>
              <w:jc w:val="left"/>
              <w:rPr>
                <w:sz w:val="20"/>
                <w:szCs w:val="18"/>
              </w:rPr>
            </w:pPr>
            <w:r>
              <w:rPr>
                <w:rFonts w:hint="eastAsia"/>
                <w:sz w:val="20"/>
              </w:rPr>
              <w:t>（ ）是  （ ）已按时履约清缴（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338" w:type="dxa"/>
            <w:vAlign w:val="center"/>
          </w:tcPr>
          <w:p>
            <w:pPr>
              <w:numPr>
                <w:ilvl w:val="0"/>
                <w:numId w:val="3"/>
              </w:numPr>
              <w:jc w:val="left"/>
              <w:rPr>
                <w:sz w:val="20"/>
              </w:rPr>
            </w:pPr>
            <w:r>
              <w:rPr>
                <w:rFonts w:hint="eastAsia"/>
                <w:sz w:val="20"/>
              </w:rPr>
              <w:t>开展产品碳足迹认证及碳标签工作</w:t>
            </w:r>
          </w:p>
        </w:tc>
        <w:tc>
          <w:tcPr>
            <w:tcW w:w="3083" w:type="dxa"/>
            <w:vAlign w:val="center"/>
          </w:tcPr>
          <w:p>
            <w:pPr>
              <w:jc w:val="left"/>
              <w:rPr>
                <w:sz w:val="20"/>
              </w:rPr>
            </w:pPr>
            <w:r>
              <w:rPr>
                <w:rFonts w:hint="eastAsia"/>
                <w:sz w:val="20"/>
              </w:rPr>
              <w:t>（ ）是，请列举产品及对应取得的认证或评价名称：</w:t>
            </w:r>
            <w:r>
              <w:rPr>
                <w:rFonts w:hint="eastAsia"/>
                <w:sz w:val="20"/>
                <w:u w:val="single"/>
              </w:rPr>
              <w:t xml:space="preserve">                           </w:t>
            </w:r>
            <w:r>
              <w:rPr>
                <w:rFonts w:hint="eastAsia"/>
                <w:sz w:val="20"/>
              </w:rPr>
              <w:t xml:space="preserve">     </w:t>
            </w:r>
          </w:p>
          <w:p>
            <w:pPr>
              <w:jc w:val="left"/>
              <w:rPr>
                <w:sz w:val="20"/>
                <w:szCs w:val="18"/>
              </w:rPr>
            </w:pPr>
            <w:r>
              <w:rPr>
                <w:rFonts w:hint="eastAsia"/>
                <w:sz w:val="20"/>
              </w:rPr>
              <w:t>（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8" w:type="dxa"/>
            <w:vAlign w:val="center"/>
          </w:tcPr>
          <w:p>
            <w:pPr>
              <w:numPr>
                <w:ilvl w:val="0"/>
                <w:numId w:val="3"/>
              </w:numPr>
              <w:jc w:val="left"/>
              <w:rPr>
                <w:sz w:val="20"/>
              </w:rPr>
            </w:pPr>
            <w:r>
              <w:rPr>
                <w:rFonts w:hint="eastAsia"/>
                <w:sz w:val="20"/>
              </w:rPr>
              <w:t>加入科学碳目标倡议（SBTi）、碳披露项目（CDP）等国内外第三方机构的减排和披露项目</w:t>
            </w:r>
          </w:p>
        </w:tc>
        <w:tc>
          <w:tcPr>
            <w:tcW w:w="3083" w:type="dxa"/>
            <w:vAlign w:val="center"/>
          </w:tcPr>
          <w:p>
            <w:pPr>
              <w:jc w:val="left"/>
              <w:rPr>
                <w:sz w:val="20"/>
              </w:rPr>
            </w:pPr>
            <w:r>
              <w:rPr>
                <w:rFonts w:hint="eastAsia"/>
              </w:rPr>
              <w:t>（ ）是，</w:t>
            </w:r>
            <w:r>
              <w:rPr>
                <w:rFonts w:hint="eastAsia"/>
                <w:sz w:val="20"/>
              </w:rPr>
              <w:t>（请注明加入时间、加入实体）</w:t>
            </w:r>
            <w:r>
              <w:rPr>
                <w:rFonts w:hint="eastAsia" w:cs="宋体"/>
                <w:sz w:val="20"/>
                <w:u w:val="single"/>
              </w:rPr>
              <w:t xml:space="preserve">                      </w:t>
            </w:r>
          </w:p>
          <w:p>
            <w:pPr>
              <w:jc w:val="left"/>
              <w:rPr>
                <w:sz w:val="20"/>
                <w:szCs w:val="20"/>
              </w:rPr>
            </w:pPr>
            <w:r>
              <w:rPr>
                <w:rFonts w:hint="eastAsia"/>
                <w:sz w:val="20"/>
                <w:szCs w:val="20"/>
              </w:rPr>
              <w:t>（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4338" w:type="dxa"/>
            <w:vAlign w:val="center"/>
          </w:tcPr>
          <w:p>
            <w:pPr>
              <w:numPr>
                <w:ilvl w:val="0"/>
                <w:numId w:val="3"/>
              </w:numPr>
              <w:jc w:val="left"/>
              <w:rPr>
                <w:sz w:val="20"/>
              </w:rPr>
            </w:pPr>
            <w:r>
              <w:rPr>
                <w:rFonts w:hint="eastAsia" w:cs="宋体"/>
                <w:sz w:val="20"/>
              </w:rPr>
              <w:t>主导或参与双碳相关标准制定工作（包括国际标准、国家标准、行业标准、地方标准、团体标准等）</w:t>
            </w:r>
          </w:p>
        </w:tc>
        <w:tc>
          <w:tcPr>
            <w:tcW w:w="3083" w:type="dxa"/>
            <w:vAlign w:val="center"/>
          </w:tcPr>
          <w:p>
            <w:pPr>
              <w:jc w:val="left"/>
              <w:rPr>
                <w:sz w:val="20"/>
                <w:u w:val="single"/>
              </w:rPr>
            </w:pPr>
            <w:r>
              <w:rPr>
                <w:rFonts w:hint="eastAsia"/>
                <w:sz w:val="20"/>
              </w:rPr>
              <w:t>（ ）是            （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jc w:val="center"/>
        </w:trPr>
        <w:tc>
          <w:tcPr>
            <w:tcW w:w="4338" w:type="dxa"/>
            <w:vAlign w:val="center"/>
          </w:tcPr>
          <w:p>
            <w:pPr>
              <w:numPr>
                <w:ilvl w:val="0"/>
                <w:numId w:val="3"/>
              </w:numPr>
              <w:jc w:val="left"/>
              <w:rPr>
                <w:rFonts w:ascii="宋体" w:hAnsi="宋体" w:cs="宋体"/>
                <w:sz w:val="20"/>
              </w:rPr>
            </w:pPr>
            <w:r>
              <w:rPr>
                <w:rFonts w:hint="eastAsia" w:ascii="宋体" w:hAnsi="宋体" w:cs="宋体"/>
                <w:sz w:val="20"/>
              </w:rPr>
              <w:t>近三年利用金融机构碳减排专项贷或其他绿色资金（包括央行碳减排专项支持工具、绿色基金、国际绿色专项贷等）</w:t>
            </w:r>
          </w:p>
        </w:tc>
        <w:tc>
          <w:tcPr>
            <w:tcW w:w="3083" w:type="dxa"/>
            <w:vAlign w:val="center"/>
          </w:tcPr>
          <w:p>
            <w:pPr>
              <w:jc w:val="left"/>
            </w:pPr>
            <w:r>
              <w:rPr>
                <w:rFonts w:hint="eastAsia"/>
                <w:sz w:val="20"/>
              </w:rPr>
              <w:t>（ ）是，累计金额： （万元）（ ）否</w:t>
            </w:r>
          </w:p>
        </w:tc>
        <w:tc>
          <w:tcPr>
            <w:tcW w:w="1683" w:type="dxa"/>
            <w:gridSpan w:val="2"/>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4338" w:type="dxa"/>
            <w:vMerge w:val="restart"/>
            <w:vAlign w:val="center"/>
          </w:tcPr>
          <w:p>
            <w:pPr>
              <w:numPr>
                <w:ilvl w:val="0"/>
                <w:numId w:val="3"/>
              </w:numPr>
              <w:jc w:val="left"/>
              <w:rPr>
                <w:sz w:val="20"/>
              </w:rPr>
            </w:pPr>
            <w:r>
              <w:rPr>
                <w:rFonts w:hint="eastAsia"/>
                <w:sz w:val="20"/>
              </w:rPr>
              <w:t>获得以下称号：</w:t>
            </w:r>
          </w:p>
          <w:p>
            <w:pPr>
              <w:jc w:val="left"/>
              <w:rPr>
                <w:sz w:val="20"/>
              </w:rPr>
            </w:pPr>
            <w:r>
              <w:rPr>
                <w:rFonts w:hint="eastAsia"/>
                <w:sz w:val="20"/>
              </w:rPr>
              <w:t>①国家级</w:t>
            </w:r>
            <w:r>
              <w:rPr>
                <w:sz w:val="20"/>
              </w:rPr>
              <w:t>绿色工厂称号；</w:t>
            </w:r>
          </w:p>
          <w:p>
            <w:pPr>
              <w:jc w:val="left"/>
              <w:rPr>
                <w:sz w:val="20"/>
              </w:rPr>
            </w:pPr>
            <w:r>
              <w:rPr>
                <w:rFonts w:hint="eastAsia"/>
                <w:sz w:val="20"/>
              </w:rPr>
              <w:t>②国家级绿色供应链管理企业称号；</w:t>
            </w:r>
          </w:p>
          <w:p>
            <w:pPr>
              <w:jc w:val="left"/>
              <w:rPr>
                <w:sz w:val="20"/>
              </w:rPr>
            </w:pPr>
            <w:r>
              <w:rPr>
                <w:rFonts w:hint="eastAsia"/>
                <w:sz w:val="20"/>
              </w:rPr>
              <w:t>③工业产品绿色设计示范企业称号；</w:t>
            </w:r>
          </w:p>
          <w:p>
            <w:pPr>
              <w:jc w:val="left"/>
              <w:rPr>
                <w:sz w:val="20"/>
              </w:rPr>
            </w:pPr>
            <w:r>
              <w:rPr>
                <w:rFonts w:hint="eastAsia"/>
                <w:sz w:val="20"/>
              </w:rPr>
              <w:t>④国家级绿色产品（列入绿色设计产品以及节能、再制造、资源综合利用等国家级产品目录）；</w:t>
            </w:r>
          </w:p>
          <w:p>
            <w:pPr>
              <w:jc w:val="left"/>
              <w:rPr>
                <w:sz w:val="20"/>
              </w:rPr>
            </w:pPr>
            <w:r>
              <w:rPr>
                <w:rFonts w:hint="eastAsia"/>
                <w:sz w:val="20"/>
              </w:rPr>
              <w:t>⑤</w:t>
            </w:r>
            <w:r>
              <w:rPr>
                <w:sz w:val="20"/>
              </w:rPr>
              <w:t>国家级能效</w:t>
            </w:r>
            <w:r>
              <w:rPr>
                <w:rFonts w:hint="eastAsia"/>
                <w:sz w:val="20"/>
              </w:rPr>
              <w:t>“</w:t>
            </w:r>
            <w:r>
              <w:rPr>
                <w:sz w:val="20"/>
              </w:rPr>
              <w:t>领跑者</w:t>
            </w:r>
            <w:r>
              <w:rPr>
                <w:rFonts w:hint="eastAsia"/>
                <w:sz w:val="20"/>
              </w:rPr>
              <w:t>”</w:t>
            </w:r>
            <w:r>
              <w:rPr>
                <w:sz w:val="20"/>
              </w:rPr>
              <w:t>称号</w:t>
            </w:r>
            <w:r>
              <w:rPr>
                <w:rFonts w:hint="eastAsia"/>
                <w:sz w:val="20"/>
              </w:rPr>
              <w:t>；</w:t>
            </w:r>
          </w:p>
          <w:p>
            <w:pPr>
              <w:jc w:val="left"/>
              <w:rPr>
                <w:sz w:val="20"/>
              </w:rPr>
            </w:pPr>
            <w:r>
              <w:rPr>
                <w:rFonts w:hint="eastAsia"/>
                <w:sz w:val="20"/>
              </w:rPr>
              <w:t>⑥入选工信部“能效之星”产品目录(</w:t>
            </w:r>
            <w:r>
              <w:rPr>
                <w:sz w:val="20"/>
              </w:rPr>
              <w:t>2019</w:t>
            </w:r>
            <w:r>
              <w:rPr>
                <w:rFonts w:hint="eastAsia"/>
                <w:sz w:val="20"/>
              </w:rPr>
              <w:t>-</w:t>
            </w:r>
            <w:r>
              <w:rPr>
                <w:sz w:val="20"/>
              </w:rPr>
              <w:t>2021</w:t>
            </w:r>
            <w:r>
              <w:rPr>
                <w:rFonts w:hint="eastAsia"/>
                <w:sz w:val="20"/>
              </w:rPr>
              <w:t>)；</w:t>
            </w:r>
          </w:p>
          <w:p>
            <w:pPr>
              <w:jc w:val="left"/>
              <w:rPr>
                <w:sz w:val="20"/>
              </w:rPr>
            </w:pPr>
            <w:r>
              <w:rPr>
                <w:rFonts w:hint="eastAsia" w:ascii="宋体" w:hAnsi="宋体" w:cs="宋体"/>
                <w:sz w:val="20"/>
              </w:rPr>
              <w:t>⑦</w:t>
            </w:r>
            <w:r>
              <w:rPr>
                <w:rFonts w:hint="eastAsia"/>
                <w:sz w:val="20"/>
              </w:rPr>
              <w:t>国家绿色低碳领域制造业规范公告企业。</w:t>
            </w:r>
          </w:p>
        </w:tc>
        <w:tc>
          <w:tcPr>
            <w:tcW w:w="3083" w:type="dxa"/>
            <w:vAlign w:val="center"/>
          </w:tcPr>
          <w:p>
            <w:pPr>
              <w:jc w:val="left"/>
            </w:pPr>
            <w:r>
              <w:rPr>
                <w:rFonts w:hint="eastAsia" w:cs="宋体"/>
                <w:sz w:val="20"/>
              </w:rPr>
              <w:t>（ ）是，</w:t>
            </w:r>
            <w:r>
              <w:rPr>
                <w:rFonts w:hint="eastAsia"/>
                <w:sz w:val="20"/>
                <w:szCs w:val="18"/>
              </w:rPr>
              <w:t>获得：</w:t>
            </w:r>
            <w:r>
              <w:rPr>
                <w:rFonts w:hint="eastAsia"/>
                <w:sz w:val="20"/>
                <w:szCs w:val="18"/>
                <w:u w:val="single"/>
              </w:rPr>
              <w:t>（请列举）</w:t>
            </w:r>
            <w:r>
              <w:rPr>
                <w:rFonts w:hint="eastAsia"/>
                <w:sz w:val="20"/>
                <w:szCs w:val="18"/>
              </w:rPr>
              <w:t>_</w:t>
            </w:r>
            <w:r>
              <w:rPr>
                <w:sz w:val="20"/>
                <w:szCs w:val="18"/>
              </w:rPr>
              <w:t>________________</w:t>
            </w:r>
          </w:p>
          <w:p>
            <w:pPr>
              <w:jc w:val="left"/>
            </w:pPr>
          </w:p>
        </w:tc>
        <w:tc>
          <w:tcPr>
            <w:tcW w:w="1683" w:type="dxa"/>
            <w:gridSpan w:val="2"/>
            <w:vMerge w:val="restart"/>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4338" w:type="dxa"/>
            <w:vMerge w:val="continue"/>
            <w:vAlign w:val="center"/>
          </w:tcPr>
          <w:p>
            <w:pPr>
              <w:jc w:val="left"/>
              <w:rPr>
                <w:sz w:val="20"/>
                <w:highlight w:val="yellow"/>
              </w:rPr>
            </w:pPr>
          </w:p>
        </w:tc>
        <w:tc>
          <w:tcPr>
            <w:tcW w:w="3083" w:type="dxa"/>
            <w:vAlign w:val="center"/>
          </w:tcPr>
          <w:p>
            <w:pPr>
              <w:jc w:val="left"/>
              <w:rPr>
                <w:sz w:val="20"/>
                <w:u w:val="single"/>
              </w:rPr>
            </w:pPr>
            <w:r>
              <w:rPr>
                <w:rFonts w:hint="eastAsia" w:cs="宋体"/>
                <w:sz w:val="20"/>
              </w:rPr>
              <w:t>（ ）否，</w:t>
            </w:r>
            <w:r>
              <w:rPr>
                <w:rFonts w:hint="eastAsia"/>
                <w:sz w:val="20"/>
                <w:szCs w:val="18"/>
              </w:rPr>
              <w:t>但获得其他</w:t>
            </w:r>
            <w:r>
              <w:rPr>
                <w:sz w:val="20"/>
                <w:szCs w:val="18"/>
              </w:rPr>
              <w:t>权威性智能化数字化绿色化相关</w:t>
            </w:r>
            <w:r>
              <w:rPr>
                <w:rFonts w:hint="eastAsia"/>
                <w:sz w:val="20"/>
                <w:szCs w:val="18"/>
              </w:rPr>
              <w:t>称号：</w:t>
            </w:r>
            <w:r>
              <w:rPr>
                <w:sz w:val="20"/>
                <w:szCs w:val="18"/>
                <w:u w:val="single"/>
              </w:rPr>
              <w:t>（</w:t>
            </w:r>
            <w:r>
              <w:rPr>
                <w:rFonts w:hint="eastAsia"/>
                <w:sz w:val="20"/>
                <w:szCs w:val="18"/>
                <w:u w:val="single"/>
              </w:rPr>
              <w:t>如有</w:t>
            </w:r>
            <w:r>
              <w:rPr>
                <w:sz w:val="20"/>
                <w:szCs w:val="18"/>
                <w:u w:val="single"/>
              </w:rPr>
              <w:t>请列举）</w:t>
            </w:r>
            <w:r>
              <w:rPr>
                <w:rFonts w:hint="eastAsia"/>
                <w:sz w:val="20"/>
                <w:szCs w:val="18"/>
                <w:u w:val="single"/>
              </w:rPr>
              <w:t xml:space="preserve">          </w:t>
            </w:r>
          </w:p>
        </w:tc>
        <w:tc>
          <w:tcPr>
            <w:tcW w:w="1683" w:type="dxa"/>
            <w:gridSpan w:val="2"/>
            <w:vMerge w:val="continue"/>
            <w:vAlign w:val="center"/>
          </w:tcPr>
          <w:p>
            <w:pPr>
              <w:jc w:val="center"/>
              <w:rPr>
                <w:sz w:val="20"/>
              </w:rPr>
            </w:pPr>
          </w:p>
        </w:tc>
      </w:tr>
    </w:tbl>
    <w:p>
      <w:pPr>
        <w:jc w:val="center"/>
        <w:rPr>
          <w:b/>
          <w:sz w:val="24"/>
          <w:szCs w:val="24"/>
        </w:rPr>
      </w:pPr>
    </w:p>
    <w:p>
      <w:pPr>
        <w:rPr>
          <w:color w:val="FF0000"/>
          <w:sz w:val="21"/>
          <w:szCs w:val="21"/>
        </w:rPr>
      </w:pPr>
    </w:p>
    <w:p>
      <w:pPr>
        <w:jc w:val="center"/>
        <w:rPr>
          <w:b/>
          <w:sz w:val="24"/>
          <w:szCs w:val="24"/>
        </w:rPr>
      </w:pPr>
      <w:r>
        <w:rPr>
          <w:rFonts w:hint="eastAsia"/>
          <w:b/>
          <w:sz w:val="24"/>
          <w:szCs w:val="24"/>
        </w:rPr>
        <w:t>第三部分：描述性评价报告（格式）</w:t>
      </w:r>
    </w:p>
    <w:p>
      <w:pPr>
        <w:pStyle w:val="2"/>
        <w:widowControl/>
        <w:spacing w:after="0" w:line="360" w:lineRule="auto"/>
        <w:rPr>
          <w:rFonts w:ascii="Times New Roman" w:hAnsi="Times New Roman"/>
          <w:b/>
          <w:bCs/>
          <w:sz w:val="22"/>
        </w:rPr>
      </w:pPr>
      <w:r>
        <w:rPr>
          <w:rFonts w:hint="eastAsia" w:ascii="Times New Roman" w:hAnsi="Times New Roman"/>
          <w:b/>
          <w:bCs/>
          <w:sz w:val="22"/>
        </w:rPr>
        <w:t>注：若不涉及相关内容可填“无”，前三题总字数6000字以内。</w:t>
      </w:r>
    </w:p>
    <w:p>
      <w:pPr>
        <w:pStyle w:val="2"/>
        <w:widowControl/>
        <w:spacing w:after="0" w:line="360" w:lineRule="auto"/>
        <w:rPr>
          <w:rFonts w:ascii="Times New Roman" w:hAnsi="Times New Roman"/>
          <w:b/>
          <w:bCs/>
          <w:sz w:val="22"/>
        </w:rPr>
      </w:pPr>
    </w:p>
    <w:p>
      <w:pPr>
        <w:pStyle w:val="2"/>
        <w:widowControl/>
        <w:spacing w:after="0" w:line="360" w:lineRule="auto"/>
        <w:rPr>
          <w:rFonts w:ascii="Times New Roman" w:hAnsi="Times New Roman"/>
          <w:b/>
          <w:bCs/>
          <w:sz w:val="22"/>
        </w:rPr>
      </w:pPr>
      <w:r>
        <w:rPr>
          <w:rFonts w:hint="eastAsia" w:ascii="Times New Roman" w:hAnsi="Times New Roman"/>
          <w:b/>
          <w:bCs/>
          <w:sz w:val="22"/>
        </w:rPr>
        <w:t>一、绿色低碳转型发展核心举措及成效（尽可能阐述各项措施量化成效）</w:t>
      </w:r>
    </w:p>
    <w:p>
      <w:pPr>
        <w:pStyle w:val="2"/>
        <w:widowControl/>
        <w:spacing w:after="0" w:line="360" w:lineRule="auto"/>
        <w:rPr>
          <w:rFonts w:ascii="Times New Roman" w:hAnsi="Times New Roman"/>
          <w:sz w:val="22"/>
        </w:rPr>
      </w:pPr>
      <w:r>
        <w:rPr>
          <w:rFonts w:hint="eastAsia" w:ascii="Times New Roman" w:hAnsi="Times New Roman"/>
          <w:sz w:val="22"/>
        </w:rPr>
        <w:t>（一）绿色低碳发展总体成效（需提供量化资料）</w:t>
      </w:r>
    </w:p>
    <w:p>
      <w:pPr>
        <w:pStyle w:val="2"/>
        <w:widowControl/>
        <w:spacing w:after="0" w:line="360" w:lineRule="auto"/>
        <w:rPr>
          <w:rFonts w:ascii="Times New Roman" w:hAnsi="Times New Roman"/>
          <w:sz w:val="22"/>
        </w:rPr>
      </w:pPr>
      <w:r>
        <w:rPr>
          <w:rFonts w:hint="eastAsia" w:ascii="Times New Roman" w:hAnsi="Times New Roman"/>
          <w:sz w:val="22"/>
        </w:rPr>
        <w:t>（二）绿色低碳管理和制度建设</w:t>
      </w:r>
    </w:p>
    <w:p>
      <w:pPr>
        <w:pStyle w:val="2"/>
        <w:widowControl/>
        <w:spacing w:after="0" w:line="360" w:lineRule="auto"/>
        <w:rPr>
          <w:rFonts w:ascii="Times New Roman" w:hAnsi="Times New Roman"/>
          <w:sz w:val="22"/>
        </w:rPr>
      </w:pPr>
      <w:r>
        <w:rPr>
          <w:rFonts w:hint="eastAsia" w:ascii="Times New Roman" w:hAnsi="Times New Roman"/>
          <w:sz w:val="22"/>
        </w:rPr>
        <w:t>（如战略目标规划、战略实施方案、制度建设、碳定价与碳资产管理、绿电交易等。若为上市公司，请补充描述企业在绿色低碳方面的治理结构、碳信息披露情况等）</w:t>
      </w:r>
    </w:p>
    <w:p>
      <w:pPr>
        <w:pStyle w:val="2"/>
        <w:widowControl/>
        <w:spacing w:after="0" w:line="360" w:lineRule="auto"/>
        <w:rPr>
          <w:rFonts w:ascii="Times New Roman" w:hAnsi="Times New Roman"/>
          <w:sz w:val="22"/>
        </w:rPr>
      </w:pPr>
      <w:r>
        <w:rPr>
          <w:rFonts w:hint="eastAsia" w:ascii="Times New Roman" w:hAnsi="Times New Roman"/>
          <w:sz w:val="22"/>
        </w:rPr>
        <w:t>（三）带动行业上下游企业共同减排</w:t>
      </w:r>
    </w:p>
    <w:p>
      <w:pPr>
        <w:pStyle w:val="2"/>
        <w:widowControl/>
        <w:spacing w:after="0" w:line="360" w:lineRule="auto"/>
        <w:rPr>
          <w:rFonts w:ascii="Times New Roman" w:hAnsi="Times New Roman"/>
          <w:sz w:val="22"/>
        </w:rPr>
      </w:pPr>
      <w:r>
        <w:rPr>
          <w:rFonts w:hint="eastAsia" w:ascii="Times New Roman" w:hAnsi="Times New Roman"/>
          <w:sz w:val="22"/>
        </w:rPr>
        <w:t>（四）能源结构调整与产品结构调整（含电气化发展水平）</w:t>
      </w:r>
    </w:p>
    <w:p>
      <w:pPr>
        <w:pStyle w:val="2"/>
        <w:widowControl/>
        <w:spacing w:after="0" w:line="360" w:lineRule="auto"/>
        <w:rPr>
          <w:rFonts w:ascii="Times New Roman" w:hAnsi="Times New Roman"/>
          <w:sz w:val="22"/>
        </w:rPr>
      </w:pPr>
      <w:r>
        <w:rPr>
          <w:rFonts w:hint="eastAsia" w:ascii="Times New Roman" w:hAnsi="Times New Roman"/>
          <w:sz w:val="22"/>
        </w:rPr>
        <w:t>（五）循环经济及减污降碳协同增效</w:t>
      </w:r>
    </w:p>
    <w:p>
      <w:pPr>
        <w:pStyle w:val="2"/>
        <w:widowControl/>
        <w:spacing w:after="0" w:line="360" w:lineRule="auto"/>
        <w:rPr>
          <w:rFonts w:ascii="Times New Roman" w:hAnsi="Times New Roman"/>
          <w:sz w:val="22"/>
        </w:rPr>
      </w:pPr>
      <w:r>
        <w:rPr>
          <w:rFonts w:hint="eastAsia" w:ascii="Times New Roman" w:hAnsi="Times New Roman"/>
          <w:sz w:val="22"/>
        </w:rPr>
        <w:t>（六）“双碳”数字化、信息化建设（如数字化碳管理信息平台构建等）</w:t>
      </w:r>
    </w:p>
    <w:p>
      <w:pPr>
        <w:pStyle w:val="2"/>
        <w:widowControl/>
        <w:spacing w:after="0" w:line="360" w:lineRule="auto"/>
        <w:rPr>
          <w:rFonts w:ascii="Times New Roman" w:hAnsi="Times New Roman"/>
          <w:sz w:val="22"/>
        </w:rPr>
      </w:pPr>
      <w:r>
        <w:rPr>
          <w:rFonts w:hint="eastAsia" w:ascii="Times New Roman" w:hAnsi="Times New Roman"/>
          <w:sz w:val="22"/>
        </w:rPr>
        <w:t>（七）应对国际市场碳管理相关规则（如欧盟碳边境调节机制、客户采购中的碳排放要求等）</w:t>
      </w:r>
    </w:p>
    <w:p>
      <w:pPr>
        <w:pStyle w:val="2"/>
        <w:widowControl/>
        <w:spacing w:after="0" w:line="360" w:lineRule="auto"/>
        <w:rPr>
          <w:rFonts w:ascii="Times New Roman" w:hAnsi="Times New Roman"/>
          <w:sz w:val="22"/>
        </w:rPr>
      </w:pPr>
      <w:r>
        <w:rPr>
          <w:rFonts w:hint="eastAsia" w:ascii="Times New Roman" w:hAnsi="Times New Roman"/>
          <w:sz w:val="22"/>
        </w:rPr>
        <w:t>（八）其他（如主动参与全国温室气体自愿减排交易市场（CCER）的主要举措等）</w:t>
      </w:r>
    </w:p>
    <w:p>
      <w:pPr>
        <w:pStyle w:val="2"/>
        <w:widowControl/>
        <w:spacing w:after="0" w:line="360" w:lineRule="auto"/>
        <w:jc w:val="right"/>
        <w:rPr>
          <w:rFonts w:ascii="Times New Roman" w:hAnsi="Times New Roman"/>
          <w:sz w:val="22"/>
        </w:rPr>
      </w:pPr>
      <w:r>
        <w:rPr>
          <w:rFonts w:hint="eastAsia" w:ascii="Times New Roman" w:hAnsi="Times New Roman"/>
          <w:sz w:val="22"/>
        </w:rPr>
        <w:t xml:space="preserve">                                        证明材料编号索引：________</w:t>
      </w:r>
    </w:p>
    <w:p>
      <w:pPr>
        <w:pStyle w:val="2"/>
        <w:widowControl/>
        <w:spacing w:after="0" w:line="360" w:lineRule="auto"/>
        <w:rPr>
          <w:rFonts w:ascii="Times New Roman" w:hAnsi="Times New Roman"/>
          <w:b/>
          <w:bCs/>
          <w:sz w:val="22"/>
        </w:rPr>
      </w:pPr>
      <w:r>
        <w:rPr>
          <w:rFonts w:hint="eastAsia" w:ascii="Times New Roman" w:hAnsi="Times New Roman"/>
          <w:b/>
          <w:bCs/>
          <w:sz w:val="22"/>
        </w:rPr>
        <w:t>二、绿色低碳研发创新能力</w:t>
      </w:r>
    </w:p>
    <w:p>
      <w:pPr>
        <w:pStyle w:val="2"/>
        <w:widowControl/>
        <w:spacing w:after="0" w:line="360" w:lineRule="auto"/>
        <w:rPr>
          <w:rFonts w:ascii="Times New Roman" w:hAnsi="Times New Roman"/>
          <w:sz w:val="22"/>
        </w:rPr>
      </w:pPr>
      <w:r>
        <w:rPr>
          <w:rFonts w:hint="eastAsia" w:ascii="Times New Roman" w:hAnsi="Times New Roman"/>
          <w:sz w:val="22"/>
        </w:rPr>
        <w:t>（一）研发能力建设</w:t>
      </w:r>
    </w:p>
    <w:p>
      <w:pPr>
        <w:pStyle w:val="2"/>
        <w:widowControl/>
        <w:spacing w:after="0" w:line="360" w:lineRule="auto"/>
        <w:rPr>
          <w:rFonts w:ascii="Times New Roman" w:hAnsi="Times New Roman"/>
          <w:sz w:val="22"/>
        </w:rPr>
      </w:pPr>
      <w:r>
        <w:rPr>
          <w:rFonts w:hint="eastAsia" w:ascii="Times New Roman" w:hAnsi="Times New Roman"/>
          <w:sz w:val="22"/>
        </w:rPr>
        <w:t>研发机构、人才队伍、研发水平、研发投入情况等</w:t>
      </w:r>
    </w:p>
    <w:p>
      <w:pPr>
        <w:pStyle w:val="2"/>
        <w:widowControl/>
        <w:spacing w:after="0" w:line="360" w:lineRule="auto"/>
        <w:rPr>
          <w:rFonts w:ascii="Times New Roman" w:hAnsi="Times New Roman"/>
          <w:sz w:val="22"/>
        </w:rPr>
      </w:pPr>
      <w:r>
        <w:rPr>
          <w:rFonts w:hint="eastAsia" w:ascii="Times New Roman" w:hAnsi="Times New Roman"/>
          <w:sz w:val="22"/>
        </w:rPr>
        <w:t>（二）绿色低碳产品和技术研发创新水平</w:t>
      </w:r>
    </w:p>
    <w:p>
      <w:pPr>
        <w:pStyle w:val="2"/>
        <w:widowControl/>
        <w:spacing w:after="0" w:line="360" w:lineRule="auto"/>
        <w:rPr>
          <w:rFonts w:ascii="Times New Roman" w:hAnsi="Times New Roman"/>
          <w:sz w:val="22"/>
        </w:rPr>
      </w:pPr>
      <w:r>
        <w:rPr>
          <w:rFonts w:hint="eastAsia" w:ascii="Times New Roman" w:hAnsi="Times New Roman"/>
          <w:sz w:val="22"/>
        </w:rPr>
        <w:t>1. 近五年获得专利授权情况</w:t>
      </w:r>
    </w:p>
    <w:p>
      <w:pPr>
        <w:pStyle w:val="2"/>
        <w:widowControl/>
        <w:spacing w:after="0" w:line="360" w:lineRule="auto"/>
        <w:rPr>
          <w:rFonts w:ascii="Times New Roman" w:hAnsi="Times New Roman"/>
          <w:sz w:val="22"/>
        </w:rPr>
      </w:pPr>
      <w:r>
        <w:rPr>
          <w:rFonts w:hint="eastAsia" w:ascii="Times New Roman" w:hAnsi="Times New Roman"/>
          <w:sz w:val="22"/>
        </w:rPr>
        <w:t>2. 重大科研项目成果；获得重要奖项和荣誉情况；省级及以上重大科技创新公共服务平台建设参与情况</w:t>
      </w:r>
    </w:p>
    <w:p>
      <w:pPr>
        <w:pStyle w:val="2"/>
        <w:widowControl/>
        <w:spacing w:after="0" w:line="360" w:lineRule="auto"/>
        <w:rPr>
          <w:rFonts w:ascii="Times New Roman" w:hAnsi="Times New Roman"/>
          <w:sz w:val="22"/>
        </w:rPr>
      </w:pPr>
      <w:r>
        <w:rPr>
          <w:rFonts w:hint="eastAsia" w:ascii="Times New Roman" w:hAnsi="Times New Roman"/>
          <w:sz w:val="22"/>
        </w:rPr>
        <w:t>3. 牵头或参与制定国内外行业相关技术标准情况</w:t>
      </w:r>
    </w:p>
    <w:p>
      <w:pPr>
        <w:pStyle w:val="2"/>
        <w:widowControl/>
        <w:spacing w:after="0" w:line="360" w:lineRule="auto"/>
        <w:jc w:val="right"/>
        <w:rPr>
          <w:rFonts w:ascii="Times New Roman" w:hAnsi="Times New Roman"/>
          <w:b/>
          <w:bCs/>
          <w:color w:val="FF0000"/>
          <w:sz w:val="22"/>
        </w:rPr>
      </w:pPr>
      <w:r>
        <w:rPr>
          <w:rFonts w:hint="eastAsia" w:ascii="Times New Roman" w:hAnsi="Times New Roman"/>
          <w:sz w:val="22"/>
        </w:rPr>
        <w:t xml:space="preserve">                                                 证明材料编号索引：________</w:t>
      </w:r>
      <w:r>
        <w:rPr>
          <w:rFonts w:hint="eastAsia" w:ascii="Times New Roman" w:hAnsi="Times New Roman"/>
          <w:b/>
          <w:bCs/>
          <w:sz w:val="22"/>
        </w:rPr>
        <w:t xml:space="preserve">     </w:t>
      </w:r>
      <w:r>
        <w:rPr>
          <w:rFonts w:hint="eastAsia" w:ascii="Times New Roman" w:hAnsi="Times New Roman"/>
          <w:b/>
          <w:bCs/>
          <w:color w:val="FF0000"/>
          <w:sz w:val="22"/>
        </w:rPr>
        <w:t xml:space="preserve">   </w:t>
      </w:r>
    </w:p>
    <w:p>
      <w:pPr>
        <w:pStyle w:val="2"/>
        <w:widowControl/>
        <w:spacing w:after="0" w:line="360" w:lineRule="auto"/>
        <w:rPr>
          <w:rFonts w:ascii="Times New Roman" w:hAnsi="Times New Roman"/>
          <w:b/>
          <w:bCs/>
          <w:sz w:val="22"/>
        </w:rPr>
      </w:pPr>
      <w:r>
        <w:rPr>
          <w:rFonts w:hint="eastAsia" w:ascii="Times New Roman" w:hAnsi="Times New Roman"/>
          <w:b/>
          <w:bCs/>
          <w:sz w:val="22"/>
        </w:rPr>
        <w:t>三、核心绿色低碳技术、工艺、产品或整体解决方案减排效益评价。（每个企业不多于三项，每项可从以下角度阐述，侧重示范性和推广性）</w:t>
      </w:r>
    </w:p>
    <w:p>
      <w:pPr>
        <w:pStyle w:val="2"/>
        <w:widowControl/>
        <w:spacing w:after="0" w:line="360" w:lineRule="auto"/>
        <w:rPr>
          <w:rFonts w:ascii="Times New Roman" w:hAnsi="Times New Roman"/>
          <w:b/>
          <w:bCs/>
          <w:sz w:val="22"/>
        </w:rPr>
      </w:pPr>
      <w:r>
        <w:rPr>
          <w:rFonts w:hint="eastAsia" w:ascii="Times New Roman" w:hAnsi="Times New Roman"/>
          <w:b/>
          <w:bCs/>
          <w:sz w:val="22"/>
        </w:rPr>
        <w:t>注：经与相关部委沟通，中国工业经济联合会将择优推荐有关技术纳入国家试点示范名单或重点推广的技术目录。</w:t>
      </w:r>
    </w:p>
    <w:p>
      <w:pPr>
        <w:pStyle w:val="2"/>
        <w:widowControl/>
        <w:spacing w:after="0" w:line="360" w:lineRule="auto"/>
        <w:rPr>
          <w:rFonts w:ascii="Times New Roman" w:hAnsi="Times New Roman"/>
          <w:sz w:val="22"/>
        </w:rPr>
      </w:pPr>
      <w:r>
        <w:rPr>
          <w:rFonts w:hint="eastAsia" w:ascii="Times New Roman" w:hAnsi="Times New Roman"/>
          <w:sz w:val="22"/>
        </w:rPr>
        <w:t>（一）技术/工艺/产品/整体解决方案名称</w:t>
      </w:r>
    </w:p>
    <w:p>
      <w:pPr>
        <w:pStyle w:val="2"/>
        <w:widowControl/>
        <w:spacing w:after="0" w:line="360" w:lineRule="auto"/>
        <w:rPr>
          <w:rFonts w:ascii="Times New Roman" w:hAnsi="Times New Roman"/>
          <w:sz w:val="22"/>
        </w:rPr>
      </w:pPr>
      <w:r>
        <w:rPr>
          <w:rFonts w:hint="eastAsia" w:ascii="Times New Roman" w:hAnsi="Times New Roman"/>
          <w:sz w:val="22"/>
        </w:rPr>
        <w:t>1. 概述。</w:t>
      </w:r>
    </w:p>
    <w:p>
      <w:pPr>
        <w:pStyle w:val="2"/>
        <w:widowControl/>
        <w:spacing w:after="0" w:line="360" w:lineRule="auto"/>
        <w:rPr>
          <w:rFonts w:ascii="Times New Roman" w:hAnsi="Times New Roman"/>
          <w:sz w:val="22"/>
        </w:rPr>
      </w:pPr>
      <w:r>
        <w:rPr>
          <w:rFonts w:hint="eastAsia" w:ascii="Times New Roman" w:hAnsi="Times New Roman"/>
          <w:sz w:val="22"/>
        </w:rPr>
        <w:t>所属类别（如能源绿色低碳转型类、重点领域降碳类、储碳固碳类、数智赋能类、非二氧化碳减排类）；应用领域和所处阶段等。</w:t>
      </w:r>
    </w:p>
    <w:p>
      <w:pPr>
        <w:pStyle w:val="2"/>
        <w:widowControl/>
        <w:spacing w:after="0" w:line="360" w:lineRule="auto"/>
        <w:rPr>
          <w:rFonts w:ascii="Times New Roman" w:hAnsi="Times New Roman"/>
          <w:sz w:val="22"/>
        </w:rPr>
      </w:pPr>
      <w:r>
        <w:rPr>
          <w:rFonts w:hint="eastAsia" w:ascii="Times New Roman" w:hAnsi="Times New Roman"/>
          <w:sz w:val="22"/>
        </w:rPr>
        <w:t>2. 技术鉴定和获奖情况（突出先进性和创新性）。</w:t>
      </w:r>
    </w:p>
    <w:p>
      <w:pPr>
        <w:pStyle w:val="2"/>
        <w:widowControl/>
        <w:spacing w:after="0" w:line="360" w:lineRule="auto"/>
        <w:rPr>
          <w:rFonts w:ascii="Times New Roman" w:hAnsi="Times New Roman"/>
          <w:sz w:val="22"/>
        </w:rPr>
      </w:pPr>
      <w:r>
        <w:rPr>
          <w:rFonts w:hint="eastAsia" w:ascii="Times New Roman" w:hAnsi="Times New Roman"/>
          <w:sz w:val="22"/>
        </w:rPr>
        <w:t>3. 节能减排效益、经济效益及环境和社会效益。（可通过典型应用项目说明）</w:t>
      </w:r>
    </w:p>
    <w:p>
      <w:pPr>
        <w:pStyle w:val="2"/>
        <w:widowControl/>
        <w:spacing w:after="0" w:line="360" w:lineRule="auto"/>
        <w:rPr>
          <w:rFonts w:ascii="Times New Roman" w:hAnsi="Times New Roman"/>
          <w:sz w:val="22"/>
        </w:rPr>
      </w:pPr>
      <w:r>
        <w:rPr>
          <w:rFonts w:hint="eastAsia" w:ascii="Times New Roman" w:hAnsi="Times New Roman"/>
          <w:sz w:val="22"/>
        </w:rPr>
        <w:t>（二）、（三）格式同（一）</w:t>
      </w:r>
    </w:p>
    <w:p>
      <w:pPr>
        <w:pStyle w:val="2"/>
        <w:widowControl/>
        <w:spacing w:after="0" w:line="360" w:lineRule="auto"/>
        <w:jc w:val="right"/>
        <w:rPr>
          <w:rFonts w:ascii="Times New Roman" w:hAnsi="Times New Roman"/>
          <w:b/>
          <w:bCs/>
          <w:sz w:val="22"/>
        </w:rPr>
      </w:pPr>
      <w:r>
        <w:rPr>
          <w:rFonts w:hint="eastAsia" w:ascii="Times New Roman" w:hAnsi="Times New Roman"/>
          <w:sz w:val="22"/>
        </w:rPr>
        <w:t xml:space="preserve">                                               证明材料编号索引：________   </w:t>
      </w:r>
      <w:r>
        <w:rPr>
          <w:rFonts w:hint="eastAsia" w:ascii="Times New Roman" w:hAnsi="Times New Roman"/>
          <w:b/>
          <w:bCs/>
          <w:sz w:val="22"/>
        </w:rPr>
        <w:t xml:space="preserve">                       </w:t>
      </w:r>
    </w:p>
    <w:p>
      <w:pPr>
        <w:pStyle w:val="2"/>
        <w:widowControl/>
        <w:spacing w:after="0" w:line="360" w:lineRule="auto"/>
        <w:rPr>
          <w:rFonts w:ascii="Times New Roman" w:hAnsi="Times New Roman"/>
          <w:b/>
          <w:bCs/>
          <w:sz w:val="22"/>
        </w:rPr>
      </w:pPr>
    </w:p>
    <w:p>
      <w:pPr>
        <w:pStyle w:val="2"/>
        <w:widowControl/>
        <w:spacing w:after="0" w:line="360" w:lineRule="auto"/>
        <w:rPr>
          <w:rFonts w:ascii="Times New Roman" w:hAnsi="Times New Roman"/>
          <w:b/>
          <w:bCs/>
          <w:sz w:val="22"/>
        </w:rPr>
      </w:pPr>
      <w:r>
        <w:rPr>
          <w:rFonts w:hint="eastAsia" w:ascii="Times New Roman" w:hAnsi="Times New Roman"/>
          <w:b/>
          <w:bCs/>
          <w:sz w:val="22"/>
        </w:rPr>
        <w:t>四、企业在推进“双碳”工作中的现实困难、对策措施及政策诉求。</w:t>
      </w:r>
    </w:p>
    <w:p>
      <w:pPr>
        <w:pStyle w:val="2"/>
        <w:widowControl/>
        <w:spacing w:after="0" w:line="360" w:lineRule="auto"/>
        <w:rPr>
          <w:rFonts w:ascii="Times New Roman" w:hAnsi="Times New Roman"/>
          <w:color w:val="FF0000"/>
        </w:rPr>
      </w:pPr>
      <w:r>
        <w:rPr>
          <w:rFonts w:hint="eastAsia" w:ascii="Times New Roman" w:hAnsi="Times New Roman"/>
          <w:b/>
          <w:bCs/>
          <w:sz w:val="22"/>
        </w:rPr>
        <w:t>注：必填，不限字数。可以从技术、政策、国际形势等角度阐述。</w:t>
      </w:r>
    </w:p>
    <w:p/>
    <w:p/>
    <w:p/>
    <w:sectPr>
      <w:headerReference r:id="rId6" w:type="default"/>
      <w:footerReference r:id="rId7" w:type="default"/>
      <w:pgSz w:w="11906" w:h="16838"/>
      <w:pgMar w:top="1701" w:right="1474" w:bottom="1134" w:left="1588" w:header="851" w:footer="1191" w:gutter="0"/>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Imva4BAABL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19K3lDhucUSnH99PP3+ffn0jdW7PEGKDWZuAeWl850cc8+SP6MyqRwU2f1EP&#10;wTg2+nhtrhwTEflRvajrCkMCY9MF8dnj8wAxvZfekmy0FHB6pan88BDTOXVKydWcX2tjygSNe+ZA&#10;zOxhmfuZY7bSuB0vgra+O6KeAQffUoebSYn54LCveUcmAyZjOxn7AHrXI7V54RXD3T4hicItVzjD&#10;XgrjxIq6y3bllXh6L1mP/8D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zcia9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1"/>
        </w:rPr>
        <w:footnoteRef/>
      </w:r>
      <w:r>
        <w:t xml:space="preserve"> </w:t>
      </w:r>
      <w:r>
        <w:rPr>
          <w:rFonts w:hint="eastAsia"/>
        </w:rPr>
        <w:t>涉及产值的表项请填写可比价数据。</w:t>
      </w:r>
    </w:p>
  </w:footnote>
  <w:footnote w:id="1">
    <w:p>
      <w:pPr>
        <w:pStyle w:val="7"/>
      </w:pPr>
      <w:r>
        <w:rPr>
          <w:rStyle w:val="11"/>
        </w:rPr>
        <w:footnoteRef/>
      </w:r>
      <w:r>
        <w:t xml:space="preserve"> </w:t>
      </w:r>
      <w:r>
        <w:rPr>
          <w:rFonts w:hint="eastAsia"/>
        </w:rPr>
        <w:t>按照国家相关部委发布的各行业温室气体核算指南进行计算。</w:t>
      </w:r>
    </w:p>
  </w:footnote>
  <w:footnote w:id="2">
    <w:p>
      <w:pPr>
        <w:pStyle w:val="7"/>
      </w:pPr>
      <w:r>
        <w:rPr>
          <w:rStyle w:val="11"/>
        </w:rPr>
        <w:footnoteRef/>
      </w:r>
      <w:r>
        <w:t xml:space="preserve"> </w:t>
      </w:r>
      <w:r>
        <w:rPr>
          <w:rFonts w:hint="eastAsia"/>
        </w:rPr>
        <w:t>绿电主要为碳排放为零或近零的可再生能源发电，包括太阳能、风能、生物质能和地热能等。包括外购绿电、绿证和企业自建可再生能源发电项目利用电量。</w:t>
      </w:r>
    </w:p>
  </w:footnote>
  <w:footnote w:id="3">
    <w:p>
      <w:pPr>
        <w:pStyle w:val="7"/>
        <w:rPr>
          <w:highlight w:val="green"/>
        </w:rPr>
      </w:pPr>
      <w:r>
        <w:rPr>
          <w:rStyle w:val="11"/>
        </w:rPr>
        <w:footnoteRef/>
      </w:r>
      <w:r>
        <w:t xml:space="preserve"> </w:t>
      </w:r>
      <w:r>
        <w:rPr>
          <w:rFonts w:hint="eastAsia"/>
        </w:rPr>
        <w:t>参照《工业重点领域能效标杆水平和基准水平（2023年版）》（发改产业〔2023〕723号），《煤炭清洁高效利用重点领域标杆水平和基准水平（2022年版）》（发改运行〔2022〕559号）等。证明材料请提供企业相关指标现值。</w:t>
      </w:r>
    </w:p>
  </w:footnote>
  <w:footnote w:id="4">
    <w:p>
      <w:pPr>
        <w:pStyle w:val="7"/>
      </w:pPr>
      <w:r>
        <w:rPr>
          <w:rStyle w:val="11"/>
        </w:rPr>
        <w:footnoteRef/>
      </w:r>
      <w:r>
        <w:t xml:space="preserve"> </w:t>
      </w:r>
      <w:r>
        <w:rPr>
          <w:rFonts w:hint="eastAsia"/>
        </w:rPr>
        <w:t>《国家重点推广的低碳技术目录》《国家工业和信息化领域节能技术装备推荐目录》《绿色技术推广目录》《国家清洁生产先进技术目录》《节能减排与低碳技术成果转化推广清单》《绿色低碳先进技术示范工程》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EB1F"/>
    <w:multiLevelType w:val="multilevel"/>
    <w:tmpl w:val="129BEB1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7298282"/>
    <w:multiLevelType w:val="singleLevel"/>
    <w:tmpl w:val="17298282"/>
    <w:lvl w:ilvl="0" w:tentative="0">
      <w:start w:val="7"/>
      <w:numFmt w:val="decimal"/>
      <w:suff w:val="space"/>
      <w:lvlText w:val="%1."/>
      <w:lvlJc w:val="left"/>
    </w:lvl>
  </w:abstractNum>
  <w:abstractNum w:abstractNumId="2">
    <w:nsid w:val="6C7F25C4"/>
    <w:multiLevelType w:val="singleLevel"/>
    <w:tmpl w:val="6C7F25C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NotTrackMoves/>
  <w:documentProtection w:edit="trackedChanges" w:enforcement="0"/>
  <w:defaultTabStop w:val="420"/>
  <w:drawingGridHorizontalSpacing w:val="156"/>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eb712875-32a0-4c4f-adc2-a875dca3bce8&amp;fileid=90743&amp;type=document&amp;isofficeview=0"/>
  </w:docVars>
  <w:rsids>
    <w:rsidRoot w:val="00172A27"/>
    <w:rsid w:val="00036A07"/>
    <w:rsid w:val="00067C64"/>
    <w:rsid w:val="00107F0D"/>
    <w:rsid w:val="00172A27"/>
    <w:rsid w:val="001D1668"/>
    <w:rsid w:val="002F633D"/>
    <w:rsid w:val="003843B5"/>
    <w:rsid w:val="003D14B3"/>
    <w:rsid w:val="00403008"/>
    <w:rsid w:val="00452927"/>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A0A3E"/>
    <w:rsid w:val="009566ED"/>
    <w:rsid w:val="00965FCE"/>
    <w:rsid w:val="009A7B04"/>
    <w:rsid w:val="009B570E"/>
    <w:rsid w:val="009C75D7"/>
    <w:rsid w:val="009E44C6"/>
    <w:rsid w:val="00A1312D"/>
    <w:rsid w:val="00A36E82"/>
    <w:rsid w:val="00A52976"/>
    <w:rsid w:val="00A734CA"/>
    <w:rsid w:val="00AC3E54"/>
    <w:rsid w:val="00AC4F99"/>
    <w:rsid w:val="00AE2990"/>
    <w:rsid w:val="00AF1BF8"/>
    <w:rsid w:val="00B2209E"/>
    <w:rsid w:val="00B4440E"/>
    <w:rsid w:val="00BA78D7"/>
    <w:rsid w:val="00BC31DE"/>
    <w:rsid w:val="00BC3DAE"/>
    <w:rsid w:val="00BD12F9"/>
    <w:rsid w:val="00BD1EE8"/>
    <w:rsid w:val="00BF0ABC"/>
    <w:rsid w:val="00BF5CCF"/>
    <w:rsid w:val="00C37F29"/>
    <w:rsid w:val="00CE4826"/>
    <w:rsid w:val="00CE55D3"/>
    <w:rsid w:val="00D953DC"/>
    <w:rsid w:val="00DC6FDF"/>
    <w:rsid w:val="00E42AB7"/>
    <w:rsid w:val="00E74EF9"/>
    <w:rsid w:val="00E761E4"/>
    <w:rsid w:val="00ED4B0E"/>
    <w:rsid w:val="00F023FE"/>
    <w:rsid w:val="00F63D0D"/>
    <w:rsid w:val="00F662B6"/>
    <w:rsid w:val="00F80B78"/>
    <w:rsid w:val="00F851CF"/>
    <w:rsid w:val="02D41D9D"/>
    <w:rsid w:val="08E82D8D"/>
    <w:rsid w:val="0A15050F"/>
    <w:rsid w:val="0AA7608A"/>
    <w:rsid w:val="0C330B0A"/>
    <w:rsid w:val="11E44770"/>
    <w:rsid w:val="142C1999"/>
    <w:rsid w:val="14EA2CDF"/>
    <w:rsid w:val="152D433B"/>
    <w:rsid w:val="16CE71DC"/>
    <w:rsid w:val="1A831CF9"/>
    <w:rsid w:val="22CC1027"/>
    <w:rsid w:val="23A571F6"/>
    <w:rsid w:val="2AE65BC6"/>
    <w:rsid w:val="369A45F1"/>
    <w:rsid w:val="380913E0"/>
    <w:rsid w:val="389A33A4"/>
    <w:rsid w:val="39D32DD1"/>
    <w:rsid w:val="3C5E79FC"/>
    <w:rsid w:val="3D1F4348"/>
    <w:rsid w:val="3E6E7B04"/>
    <w:rsid w:val="3EAA2441"/>
    <w:rsid w:val="40B17862"/>
    <w:rsid w:val="441827D8"/>
    <w:rsid w:val="48492048"/>
    <w:rsid w:val="4CEC289D"/>
    <w:rsid w:val="54982653"/>
    <w:rsid w:val="558B3103"/>
    <w:rsid w:val="575271B5"/>
    <w:rsid w:val="59001C3A"/>
    <w:rsid w:val="5FB756F8"/>
    <w:rsid w:val="651B6714"/>
    <w:rsid w:val="6A814153"/>
    <w:rsid w:val="6F575650"/>
    <w:rsid w:val="7071014E"/>
    <w:rsid w:val="72E16CA8"/>
    <w:rsid w:val="740A3678"/>
    <w:rsid w:val="74A8464C"/>
    <w:rsid w:val="74BC17C0"/>
    <w:rsid w:val="78F3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Calibri" w:hAnsi="Calibri"/>
      <w:sz w:val="21"/>
      <w:szCs w:val="21"/>
    </w:rPr>
  </w:style>
  <w:style w:type="paragraph" w:styleId="4">
    <w:name w:val="Balloon Text"/>
    <w:basedOn w:val="1"/>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iPriority w:val="0"/>
    <w:pPr>
      <w:snapToGrid w:val="0"/>
      <w:jc w:val="left"/>
    </w:pPr>
    <w:rPr>
      <w:rFonts w:ascii="Calibri" w:hAnsi="Calibri"/>
      <w:sz w:val="18"/>
      <w:szCs w:val="24"/>
    </w:rPr>
  </w:style>
  <w:style w:type="paragraph" w:styleId="8">
    <w:name w:val="Normal (Web)"/>
    <w:basedOn w:val="1"/>
    <w:uiPriority w:val="0"/>
    <w:pPr>
      <w:spacing w:before="100" w:beforeAutospacing="1" w:after="100" w:afterAutospacing="1"/>
      <w:jc w:val="left"/>
    </w:pPr>
    <w:rPr>
      <w:rFonts w:ascii="Calibri" w:hAnsi="Calibri"/>
      <w:kern w:val="0"/>
      <w:sz w:val="24"/>
      <w:szCs w:val="24"/>
    </w:rPr>
  </w:style>
  <w:style w:type="character" w:styleId="10">
    <w:name w:val="Hyperlink"/>
    <w:uiPriority w:val="0"/>
    <w:rPr>
      <w:rFonts w:ascii="Times New Roman" w:hAnsi="Times New Roman" w:eastAsia="宋体" w:cs="Times New Roman"/>
      <w:color w:val="0000FF"/>
      <w:u w:val="single"/>
    </w:rPr>
  </w:style>
  <w:style w:type="character" w:styleId="11">
    <w:name w:val="footnote reference"/>
    <w:qFormat/>
    <w:uiPriority w:val="0"/>
    <w:rPr>
      <w:rFonts w:ascii="Times New Roman" w:hAnsi="Times New Roman" w:eastAsia="宋体" w:cs="Times New Roman"/>
      <w:vertAlign w:val="superscript"/>
    </w:rPr>
  </w:style>
  <w:style w:type="character" w:customStyle="1" w:styleId="13">
    <w:name w:val="页脚 字符"/>
    <w:link w:val="5"/>
    <w:qFormat/>
    <w:uiPriority w:val="99"/>
    <w:rPr>
      <w:kern w:val="2"/>
      <w:sz w:val="18"/>
      <w:szCs w:val="18"/>
    </w:rPr>
  </w:style>
  <w:style w:type="character" w:customStyle="1" w:styleId="14">
    <w:name w:val="页眉 字符"/>
    <w:link w:val="6"/>
    <w:qFormat/>
    <w:uiPriority w:val="0"/>
    <w:rPr>
      <w:kern w:val="2"/>
      <w:sz w:val="18"/>
      <w:szCs w:val="18"/>
    </w:rPr>
  </w:style>
  <w:style w:type="paragraph" w:customStyle="1" w:styleId="15">
    <w:name w:val="列出段落1"/>
    <w:basedOn w:val="1"/>
    <w:uiPriority w:val="0"/>
    <w:pPr>
      <w:ind w:firstLine="420" w:firstLineChars="200"/>
    </w:pPr>
    <w:rPr>
      <w:sz w:val="21"/>
      <w:szCs w:val="21"/>
    </w:rPr>
  </w:style>
  <w:style w:type="character" w:customStyle="1" w:styleId="16">
    <w:name w:val="10"/>
    <w:uiPriority w:val="0"/>
    <w:rPr>
      <w:rFonts w:hint="default" w:ascii="Times New Roman" w:hAnsi="Times New Roman" w:eastAsia="宋体" w:cs="Times New Roman"/>
    </w:rPr>
  </w:style>
  <w:style w:type="character" w:customStyle="1" w:styleId="17">
    <w:name w:val="15"/>
    <w:qFormat/>
    <w:uiPriority w:val="0"/>
    <w:rPr>
      <w:rFonts w:hint="default" w:ascii="Times New Roman" w:hAnsi="Times New Roman" w:eastAsia="宋体" w:cs="Times New Roman"/>
      <w:color w:val="800080"/>
      <w:u w:val="single"/>
    </w:rPr>
  </w:style>
  <w:style w:type="character" w:customStyle="1" w:styleId="18">
    <w:name w:val="16"/>
    <w:qFormat/>
    <w:uiPriority w:val="0"/>
    <w:rPr>
      <w:rFonts w:hint="default"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655</Words>
  <Characters>3734</Characters>
  <Lines>31</Lines>
  <Paragraphs>8</Paragraphs>
  <TotalTime>17</TotalTime>
  <ScaleCrop>false</ScaleCrop>
  <LinksUpToDate>false</LinksUpToDate>
  <CharactersWithSpaces>4381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2024-04-16T07:29:00Z</dcterms:created>
  <dc:creator>YlmF</dc:creator>
  <cp:lastModifiedBy>Lenovo</cp:lastModifiedBy>
  <cp:lastPrinted>2017-03-31T08:42:00Z</cp:lastPrinted>
  <dcterms:modified xsi:type="dcterms:W3CDTF">2024-04-17T03:56:18Z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